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CT_Small"/>
        <w:jc w:val="center"/>
      </w:pPr>
      <w:r>
        <w:rPr>
          <w:rFonts w:ascii="Arial" w:hAnsi="Arial" w:eastAsia="Arial"/>
          <w:b/>
          <w:color w:val="F5C45B"/>
          <w:sz w:val="27"/>
        </w:rPr>
        <w:t>TÀI LIỆU HƯỚNG DẪN THAO TÁC</w:t>
      </w:r>
    </w:p>
    <w:p>
      <w:pPr>
        <w:pStyle w:val="CT_Title"/>
        <w:jc w:val="center"/>
      </w:pPr>
      <w:r>
        <w:rPr>
          <w:rFonts w:ascii="Arial" w:hAnsi="Arial" w:eastAsia="Arial"/>
          <w:b/>
          <w:color w:val="062B63"/>
          <w:sz w:val="54"/>
        </w:rPr>
        <w:t>HƯỚNG DẪN ĐĂNG NHẬP</w:t>
        <w:br/>
        <w:t>NOTEBOOKLM</w:t>
      </w:r>
    </w:p>
    <w:p>
      <w:pPr>
        <w:pStyle w:val="CT_Body"/>
        <w:jc w:val="center"/>
      </w:pPr>
      <w:r>
        <w:rPr>
          <w:rFonts w:ascii="Arial" w:hAnsi="Arial" w:eastAsia="Arial"/>
          <w:b w:val="0"/>
          <w:color w:val="10223D"/>
          <w:sz w:val="22"/>
        </w:rPr>
        <w:t>Tài liệu dùng cho giảng viên và học viên trong buổi tập huấn AI công vụ. Nội dung hướng dẫn cách truy cập NotebookLM, tạo sổ ghi chú, thêm nguồn, khai thác công cụ Studio và xuất kết quả.</w:t>
      </w:r>
    </w:p>
    <w:tbl>
      <w:tblPr>
        <w:tblW w:type="auto" w:w="0"/>
        <w:jc w:val="center"/>
        <w:tblLayout w:type="fixed"/>
        <w:tblLook w:firstColumn="1" w:firstRow="1" w:lastColumn="0" w:lastRow="0" w:noHBand="0" w:noVBand="1" w:val="04A0"/>
      </w:tblPr>
      <w:tblGrid>
        <w:gridCol w:w="9354"/>
      </w:tblGrid>
      <w:tr>
        <w:tc>
          <w:tcPr>
            <w:tcW w:type="dxa" w:w="9355"/>
            <w:vAlign w:val="center"/>
            <w:shd w:fill="EBF7FF"/>
            <w:tcBorders>
              <w:top w:val="single" w:sz="10" w:space="0" w:color="29D3F5"/>
              <w:left w:val="single" w:sz="10" w:space="0" w:color="29D3F5"/>
              <w:bottom w:val="single" w:sz="10" w:space="0" w:color="29D3F5"/>
              <w:right w:val="single" w:sz="10" w:space="0" w:color="29D3F5"/>
            </w:tcBorders>
            <w:tcMar>
              <w:top w:w="90" w:type="dxa"/>
              <w:start w:w="110" w:type="dxa"/>
              <w:bottom w:w="90" w:type="dxa"/>
              <w:end w:w="110" w:type="dxa"/>
            </w:tcMar>
          </w:tcPr>
          <w:p>
            <w:r>
              <w:rPr>
                <w:rFonts w:ascii="Arial" w:hAnsi="Arial" w:eastAsia="Arial"/>
                <w:b/>
                <w:color w:val="062B63"/>
                <w:sz w:val="21"/>
              </w:rPr>
              <w:t xml:space="preserve">Mục tiêu: </w:t>
            </w:r>
            <w:r>
              <w:rPr>
                <w:rFonts w:ascii="Arial" w:hAnsi="Arial" w:eastAsia="Arial"/>
                <w:b w:val="0"/>
                <w:color w:val="10223D"/>
                <w:sz w:val="21"/>
              </w:rPr>
              <w:t>sau khi hoàn thành, người học đăng nhập được NotebookLM, tạo sổ ghi chú mới, thêm nguồn từ web/tệp, sử dụng các công cụ tạo tổng quan, trình bày, bản đồ tư duy, báo cáo, thẻ thông tin, bài kiểm tra, infographic, bảng dữ liệu và biết cách tải/xuất kết quả.</w:t>
            </w:r>
          </w:p>
        </w:tc>
      </w:tr>
    </w:tbl>
    <w:p/>
    <w:tbl>
      <w:tblPr>
        <w:tblW w:type="auto" w:w="0"/>
        <w:jc w:val="center"/>
        <w:tblLayout w:type="fixed"/>
        <w:tblLook w:firstColumn="1" w:firstRow="1" w:lastColumn="0" w:lastRow="0" w:noHBand="0" w:noVBand="1" w:val="04A0"/>
      </w:tblPr>
      <w:tblGrid>
        <w:gridCol w:w="4535"/>
        <w:gridCol w:w="4706"/>
      </w:tblGrid>
      <w:tr>
        <w:tc>
          <w:tcPr>
            <w:tcW w:type="dxa" w:w="4677"/>
            <w:shd w:fill="EAFBF7"/>
            <w:tcBorders>
              <w:top w:val="single" w:sz="8" w:space="0" w:color="22C7A7"/>
              <w:left w:val="single" w:sz="8" w:space="0" w:color="22C7A7"/>
              <w:bottom w:val="single" w:sz="8" w:space="0" w:color="22C7A7"/>
              <w:right w:val="single" w:sz="8" w:space="0" w:color="22C7A7"/>
            </w:tcBorders>
            <w:tcMar>
              <w:top w:w="80" w:type="dxa"/>
              <w:start w:w="90" w:type="dxa"/>
              <w:bottom w:w="80" w:type="dxa"/>
              <w:end w:w="90" w:type="dxa"/>
            </w:tcMar>
          </w:tcPr>
          <w:p>
            <w:r>
              <w:rPr>
                <w:rFonts w:ascii="Arial" w:hAnsi="Arial" w:eastAsia="Arial"/>
                <w:b/>
                <w:color w:val="22A78C"/>
                <w:sz w:val="22"/>
              </w:rPr>
              <w:t>Nội dung chính</w:t>
            </w:r>
          </w:p>
          <w:p>
            <w:pPr>
              <w:pStyle w:val="CT_Body"/>
            </w:pPr>
            <w:r>
              <w:rPr>
                <w:rFonts w:ascii="Arial" w:hAnsi="Arial" w:eastAsia="Arial"/>
                <w:b w:val="0"/>
                <w:color w:val="10223D"/>
                <w:sz w:val="19"/>
              </w:rPr>
              <w:t>• Đăng nhập NotebookLM bằng tài khoản Google.</w:t>
            </w:r>
          </w:p>
          <w:p>
            <w:pPr>
              <w:pStyle w:val="CT_Body"/>
            </w:pPr>
            <w:r>
              <w:rPr>
                <w:rFonts w:ascii="Arial" w:hAnsi="Arial" w:eastAsia="Arial"/>
                <w:b w:val="0"/>
                <w:color w:val="10223D"/>
                <w:sz w:val="19"/>
              </w:rPr>
              <w:t>• Tạo sổ ghi chú mới và thêm nguồn.</w:t>
            </w:r>
          </w:p>
          <w:p>
            <w:pPr>
              <w:pStyle w:val="CT_Body"/>
            </w:pPr>
            <w:r>
              <w:rPr>
                <w:rFonts w:ascii="Arial" w:hAnsi="Arial" w:eastAsia="Arial"/>
                <w:b w:val="0"/>
                <w:color w:val="10223D"/>
                <w:sz w:val="19"/>
              </w:rPr>
              <w:t>• Khai thác công cụ Studio để tạo sản phẩm học tập.</w:t>
            </w:r>
          </w:p>
          <w:p>
            <w:pPr>
              <w:pStyle w:val="CT_Body"/>
            </w:pPr>
            <w:r>
              <w:rPr>
                <w:rFonts w:ascii="Arial" w:hAnsi="Arial" w:eastAsia="Arial"/>
                <w:b w:val="0"/>
                <w:color w:val="10223D"/>
                <w:sz w:val="19"/>
              </w:rPr>
              <w:t>• Xuất/tải kết quả sau khi hoàn thành.</w:t>
            </w:r>
          </w:p>
        </w:tc>
        <w:tc>
          <w:tcPr>
            <w:tcW w:type="dxa" w:w="4677"/>
            <w:shd w:fill="FFF8E6"/>
            <w:tcBorders>
              <w:top w:val="single" w:sz="8" w:space="0" w:color="F5C45B"/>
              <w:left w:val="single" w:sz="8" w:space="0" w:color="F5C45B"/>
              <w:bottom w:val="single" w:sz="8" w:space="0" w:color="F5C45B"/>
              <w:right w:val="single" w:sz="8" w:space="0" w:color="F5C45B"/>
            </w:tcBorders>
            <w:tcMar>
              <w:top w:w="80" w:type="dxa"/>
              <w:start w:w="90" w:type="dxa"/>
              <w:bottom w:w="80" w:type="dxa"/>
              <w:end w:w="90" w:type="dxa"/>
            </w:tcMar>
          </w:tcPr>
          <w:p>
            <w:r>
              <w:rPr>
                <w:rFonts w:ascii="Arial" w:hAnsi="Arial" w:eastAsia="Arial"/>
                <w:b/>
                <w:color w:val="A56A00"/>
                <w:sz w:val="22"/>
              </w:rPr>
              <w:t>Lưu ý cho lớp học</w:t>
            </w:r>
          </w:p>
          <w:p>
            <w:pPr>
              <w:pStyle w:val="CT_Body"/>
            </w:pPr>
            <w:r>
              <w:rPr>
                <w:rFonts w:ascii="Arial" w:hAnsi="Arial" w:eastAsia="Arial"/>
                <w:b w:val="0"/>
                <w:color w:val="10223D"/>
                <w:sz w:val="19"/>
              </w:rPr>
              <w:t>• Làm theo đúng thứ tự các bước.</w:t>
            </w:r>
          </w:p>
          <w:p>
            <w:pPr>
              <w:pStyle w:val="CT_Body"/>
            </w:pPr>
            <w:r>
              <w:rPr>
                <w:rFonts w:ascii="Arial" w:hAnsi="Arial" w:eastAsia="Arial"/>
                <w:b w:val="0"/>
                <w:color w:val="10223D"/>
                <w:sz w:val="19"/>
              </w:rPr>
              <w:t>• Quan sát vùng con trỏ được đánh dấu trong ảnh.</w:t>
            </w:r>
          </w:p>
          <w:p>
            <w:pPr>
              <w:pStyle w:val="CT_Body"/>
            </w:pPr>
            <w:r>
              <w:rPr>
                <w:rFonts w:ascii="Arial" w:hAnsi="Arial" w:eastAsia="Arial"/>
                <w:b w:val="0"/>
                <w:color w:val="10223D"/>
                <w:sz w:val="19"/>
              </w:rPr>
              <w:t>• Nếu giao diện thay đổi nhẹ, chọn nút/chức năng có ý nghĩa tương đương.</w:t>
            </w:r>
          </w:p>
          <w:p>
            <w:pPr>
              <w:pStyle w:val="CT_Body"/>
            </w:pPr>
            <w:r>
              <w:rPr>
                <w:rFonts w:ascii="Arial" w:hAnsi="Arial" w:eastAsia="Arial"/>
                <w:b w:val="0"/>
                <w:color w:val="10223D"/>
                <w:sz w:val="19"/>
              </w:rPr>
              <w:t>• Báo giảng viên khi tài khoản hoặc quyền truy cập bị lỗi.</w:t>
            </w:r>
          </w:p>
        </w:tc>
      </w:tr>
    </w:tbl>
    <w:p>
      <w:r>
        <w:br w:type="page"/>
      </w:r>
    </w:p>
    <w:tbl>
      <w:tblPr>
        <w:tblW w:type="auto" w:w="0"/>
        <w:jc w:val="center"/>
        <w:tblLayout w:type="fixed"/>
        <w:tblLook w:firstColumn="1" w:firstRow="1" w:lastColumn="0" w:lastRow="0" w:noHBand="0" w:noVBand="1" w:val="04A0"/>
      </w:tblPr>
      <w:tblGrid>
        <w:gridCol w:w="9354"/>
      </w:tblGrid>
      <w:tr>
        <w:tc>
          <w:tcPr>
            <w:tcW w:type="dxa" w:w="9355"/>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01. Mở trình duyệt Google Chrome</w:t>
            </w:r>
          </w:p>
          <w:p>
            <w:pPr>
              <w:pStyle w:val="CT_Body"/>
            </w:pPr>
            <w:r>
              <w:rPr>
                <w:rFonts w:ascii="Arial" w:hAnsi="Arial" w:eastAsia="Arial"/>
                <w:b/>
                <w:color w:val="0B66D8"/>
                <w:sz w:val="16"/>
              </w:rPr>
              <w:t xml:space="preserve">Thao tác: </w:t>
            </w:r>
            <w:r>
              <w:rPr>
                <w:rFonts w:ascii="Arial" w:hAnsi="Arial" w:eastAsia="Arial"/>
                <w:b w:val="0"/>
                <w:color w:val="10223D"/>
                <w:sz w:val="16"/>
              </w:rPr>
              <w:t>Mở trình duyệt Chrome và đặt con trỏ tại trang Google/thanh tìm kiếm.</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Trình duyệt sẵn sàng để nhập từ khóa NotebookLM.</w:t>
            </w:r>
          </w:p>
        </w:tc>
      </w:tr>
    </w:tbl>
    <w:p>
      <w:pPr>
        <w:spacing w:before="80" w:after="0"/>
        <w:jc w:val="center"/>
      </w:pPr>
      <w:r>
        <w:drawing>
          <wp:inline xmlns:a="http://schemas.openxmlformats.org/drawingml/2006/main" xmlns:pic="http://schemas.openxmlformats.org/drawingml/2006/picture">
            <wp:extent cx="5634000" cy="7296878"/>
            <wp:docPr id="1" name="Picture 1"/>
            <wp:cNvGraphicFramePr>
              <a:graphicFrameLocks noChangeAspect="1"/>
            </wp:cNvGraphicFramePr>
            <a:graphic>
              <a:graphicData uri="http://schemas.openxmlformats.org/drawingml/2006/picture">
                <pic:pic>
                  <pic:nvPicPr>
                    <pic:cNvPr id="0" name="notebooklm_page_02.png"/>
                    <pic:cNvPicPr/>
                  </pic:nvPicPr>
                  <pic:blipFill>
                    <a:blip r:embed="rId14"/>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02. Chọn kết quả NotebookLM chính thức</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kết quả NotebookLM chính thức trên Google.</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Trang giới thiệu NotebookLM được mở trong trình duyệt.</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03. Bắt đầu sử dụng NotebookLM</w:t>
            </w:r>
          </w:p>
          <w:p>
            <w:pPr>
              <w:pStyle w:val="CT_Body"/>
            </w:pPr>
            <w:r>
              <w:rPr>
                <w:rFonts w:ascii="Arial" w:hAnsi="Arial" w:eastAsia="Arial"/>
                <w:b/>
                <w:color w:val="0B66D8"/>
                <w:sz w:val="16"/>
              </w:rPr>
              <w:t xml:space="preserve">Thao tác: </w:t>
            </w:r>
            <w:r>
              <w:rPr>
                <w:rFonts w:ascii="Arial" w:hAnsi="Arial" w:eastAsia="Arial"/>
                <w:b w:val="0"/>
                <w:color w:val="10223D"/>
                <w:sz w:val="16"/>
              </w:rPr>
              <w:t>Nhấp nút “Try NotebookLM”.</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Hệ thống chuyển sang bước đăng nhập hoặc chọn tài khoản Google.</w:t>
            </w:r>
          </w:p>
        </w:tc>
      </w:tr>
    </w:tbl>
    <w:p>
      <w:pPr>
        <w:spacing w:before="80" w:after="0"/>
        <w:jc w:val="center"/>
      </w:pPr>
      <w:r>
        <w:drawing>
          <wp:inline xmlns:a="http://schemas.openxmlformats.org/drawingml/2006/main" xmlns:pic="http://schemas.openxmlformats.org/drawingml/2006/picture">
            <wp:extent cx="5634000" cy="7296878"/>
            <wp:docPr id="2" name="Picture 2"/>
            <wp:cNvGraphicFramePr>
              <a:graphicFrameLocks noChangeAspect="1"/>
            </wp:cNvGraphicFramePr>
            <a:graphic>
              <a:graphicData uri="http://schemas.openxmlformats.org/drawingml/2006/picture">
                <pic:pic>
                  <pic:nvPicPr>
                    <pic:cNvPr id="0" name="notebooklm_page_03.png"/>
                    <pic:cNvPicPr/>
                  </pic:nvPicPr>
                  <pic:blipFill>
                    <a:blip r:embed="rId15"/>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04. Chọn tài khoản Google</w:t>
            </w:r>
          </w:p>
          <w:p>
            <w:pPr>
              <w:pStyle w:val="CT_Body"/>
            </w:pPr>
            <w:r>
              <w:rPr>
                <w:rFonts w:ascii="Arial" w:hAnsi="Arial" w:eastAsia="Arial"/>
                <w:b/>
                <w:color w:val="0B66D8"/>
                <w:sz w:val="16"/>
              </w:rPr>
              <w:t xml:space="preserve">Thao tác: </w:t>
            </w:r>
            <w:r>
              <w:rPr>
                <w:rFonts w:ascii="Arial" w:hAnsi="Arial" w:eastAsia="Arial"/>
                <w:b w:val="0"/>
                <w:color w:val="10223D"/>
                <w:sz w:val="16"/>
              </w:rPr>
              <w:t>Chọn tài khoản Google cần dùng để đăng nhập NotebookLM.</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Tài khoản được chọn và chuyển sang bước xác thực.</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05. Xác nhận đăng nhập</w:t>
            </w:r>
          </w:p>
          <w:p>
            <w:pPr>
              <w:pStyle w:val="CT_Body"/>
            </w:pPr>
            <w:r>
              <w:rPr>
                <w:rFonts w:ascii="Arial" w:hAnsi="Arial" w:eastAsia="Arial"/>
                <w:b/>
                <w:color w:val="0B66D8"/>
                <w:sz w:val="16"/>
              </w:rPr>
              <w:t xml:space="preserve">Thao tác: </w:t>
            </w:r>
            <w:r>
              <w:rPr>
                <w:rFonts w:ascii="Arial" w:hAnsi="Arial" w:eastAsia="Arial"/>
                <w:b w:val="0"/>
                <w:color w:val="10223D"/>
                <w:sz w:val="16"/>
              </w:rPr>
              <w:t>Nhấp “Next” sau khi nhập/xác nhận thông tin đăng nhập.</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Quá trình đăng nhập tiếp tục và chuyển vào NotebookLM.</w:t>
            </w:r>
          </w:p>
        </w:tc>
      </w:tr>
    </w:tbl>
    <w:p>
      <w:pPr>
        <w:spacing w:before="80" w:after="0"/>
        <w:jc w:val="center"/>
      </w:pPr>
      <w:r>
        <w:drawing>
          <wp:inline xmlns:a="http://schemas.openxmlformats.org/drawingml/2006/main" xmlns:pic="http://schemas.openxmlformats.org/drawingml/2006/picture">
            <wp:extent cx="5634000" cy="7296878"/>
            <wp:docPr id="3" name="Picture 3"/>
            <wp:cNvGraphicFramePr>
              <a:graphicFrameLocks noChangeAspect="1"/>
            </wp:cNvGraphicFramePr>
            <a:graphic>
              <a:graphicData uri="http://schemas.openxmlformats.org/drawingml/2006/picture">
                <pic:pic>
                  <pic:nvPicPr>
                    <pic:cNvPr id="0" name="notebooklm_page_04.png"/>
                    <pic:cNvPicPr/>
                  </pic:nvPicPr>
                  <pic:blipFill>
                    <a:blip r:embed="rId16"/>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06. Xem khu vực sổ ghi chú nổi bật</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mục “Sổ ghi chú nổi bật” trên giao diện NotebookLM.</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Người học truy cập đúng khu vực quản lý/tạo sổ ghi chú.</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07. Tạo sổ ghi chú mới</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mục “Tạo sổ ghi chú mới” trên giao diện NotebookLM.</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Người học truy cập đúng khu vực quản lý/tạo sổ ghi chú.</w:t>
            </w:r>
          </w:p>
        </w:tc>
      </w:tr>
    </w:tbl>
    <w:p>
      <w:pPr>
        <w:spacing w:before="80" w:after="0"/>
        <w:jc w:val="center"/>
      </w:pPr>
      <w:r>
        <w:drawing>
          <wp:inline xmlns:a="http://schemas.openxmlformats.org/drawingml/2006/main" xmlns:pic="http://schemas.openxmlformats.org/drawingml/2006/picture">
            <wp:extent cx="5634000" cy="7296878"/>
            <wp:docPr id="4" name="Picture 4"/>
            <wp:cNvGraphicFramePr>
              <a:graphicFrameLocks noChangeAspect="1"/>
            </wp:cNvGraphicFramePr>
            <a:graphic>
              <a:graphicData uri="http://schemas.openxmlformats.org/drawingml/2006/picture">
                <pic:pic>
                  <pic:nvPicPr>
                    <pic:cNvPr id="0" name="notebooklm_page_05.png"/>
                    <pic:cNvPicPr/>
                  </pic:nvPicPr>
                  <pic:blipFill>
                    <a:blip r:embed="rId17"/>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08. Chọn nguồn Web</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“Web” theo vị trí được đánh dấu trong ảnh.</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Nguồn/tệp/truy vấn được chọn hoặc được đưa vào sổ ghi chú để NotebookLM xử lý.</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09. Chọn chế độ nghiên cứu nhanh</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“Nghiên cứu nhanh” theo vị trí được đánh dấu trong ảnh.</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Nguồn/tệp/truy vấn được chọn hoặc được đưa vào sổ ghi chú để NotebookLM xử lý.</w:t>
            </w:r>
          </w:p>
        </w:tc>
      </w:tr>
    </w:tbl>
    <w:p>
      <w:pPr>
        <w:spacing w:before="80" w:after="0"/>
        <w:jc w:val="center"/>
      </w:pPr>
      <w:r>
        <w:drawing>
          <wp:inline xmlns:a="http://schemas.openxmlformats.org/drawingml/2006/main" xmlns:pic="http://schemas.openxmlformats.org/drawingml/2006/picture">
            <wp:extent cx="5634000" cy="7296878"/>
            <wp:docPr id="5" name="Picture 5"/>
            <wp:cNvGraphicFramePr>
              <a:graphicFrameLocks noChangeAspect="1"/>
            </wp:cNvGraphicFramePr>
            <a:graphic>
              <a:graphicData uri="http://schemas.openxmlformats.org/drawingml/2006/picture">
                <pic:pic>
                  <pic:nvPicPr>
                    <pic:cNvPr id="0" name="notebooklm_page_06.png"/>
                    <pic:cNvPicPr/>
                  </pic:nvPicPr>
                  <pic:blipFill>
                    <a:blip r:embed="rId18"/>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10. Khám phá nguồn theo truy vấn</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“Khám phá nguồn dựa trên truy vấn đã nhập” theo vị trí được đánh dấu trong ảnh.</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Nguồn/tệp/truy vấn được chọn hoặc được đưa vào sổ ghi chú để NotebookLM xử lý.</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11. Tải tệp làm nguồn</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“Tải tệp lên” theo vị trí được đánh dấu trong ảnh.</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Nguồn/tệp/truy vấn được chọn hoặc được đưa vào sổ ghi chú để NotebookLM xử lý.</w:t>
            </w:r>
          </w:p>
        </w:tc>
      </w:tr>
    </w:tbl>
    <w:p>
      <w:pPr>
        <w:spacing w:before="80" w:after="0"/>
        <w:jc w:val="center"/>
      </w:pPr>
      <w:r>
        <w:drawing>
          <wp:inline xmlns:a="http://schemas.openxmlformats.org/drawingml/2006/main" xmlns:pic="http://schemas.openxmlformats.org/drawingml/2006/picture">
            <wp:extent cx="5634000" cy="7296878"/>
            <wp:docPr id="6" name="Picture 6"/>
            <wp:cNvGraphicFramePr>
              <a:graphicFrameLocks noChangeAspect="1"/>
            </wp:cNvGraphicFramePr>
            <a:graphic>
              <a:graphicData uri="http://schemas.openxmlformats.org/drawingml/2006/picture">
                <pic:pic>
                  <pic:nvPicPr>
                    <pic:cNvPr id="0" name="notebooklm_page_07.png"/>
                    <pic:cNvPicPr/>
                  </pic:nvPicPr>
                  <pic:blipFill>
                    <a:blip r:embed="rId19"/>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12. Thêm nguồn vào sổ ghi chú</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“Thêm nguồn” theo vị trí được đánh dấu trong ảnh.</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Nguồn/tệp/truy vấn được chọn hoặc được đưa vào sổ ghi chú để NotebookLM xử lý.</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13. Chọn nghiên cứu nhanh</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“Nghiên cứu nhanh” theo vị trí được đánh dấu trong ảnh.</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Nguồn/tệp/truy vấn được chọn hoặc được đưa vào sổ ghi chú để NotebookLM xử lý.</w:t>
            </w:r>
          </w:p>
        </w:tc>
      </w:tr>
    </w:tbl>
    <w:p>
      <w:pPr>
        <w:spacing w:before="80" w:after="0"/>
        <w:jc w:val="center"/>
      </w:pPr>
      <w:r>
        <w:drawing>
          <wp:inline xmlns:a="http://schemas.openxmlformats.org/drawingml/2006/main" xmlns:pic="http://schemas.openxmlformats.org/drawingml/2006/picture">
            <wp:extent cx="5634000" cy="7296878"/>
            <wp:docPr id="7" name="Picture 7"/>
            <wp:cNvGraphicFramePr>
              <a:graphicFrameLocks noChangeAspect="1"/>
            </wp:cNvGraphicFramePr>
            <a:graphic>
              <a:graphicData uri="http://schemas.openxmlformats.org/drawingml/2006/picture">
                <pic:pic>
                  <pic:nvPicPr>
                    <pic:cNvPr id="0" name="notebooklm_page_08.png"/>
                    <pic:cNvPicPr/>
                  </pic:nvPicPr>
                  <pic:blipFill>
                    <a:blip r:embed="rId20"/>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14. Khám phá nguồn theo truy vấn đã nhập</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“Khám phá nguồn dựa trên truy vấn đã nhập” theo vị trí được đánh dấu trong ảnh.</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Nguồn/tệp/truy vấn được chọn hoặc được đưa vào sổ ghi chú để NotebookLM xử lý.</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15. Gửi truy vấn tìm nguồn</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“Gửi” theo vị trí được đánh dấu trong ảnh.</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Nguồn/tệp/truy vấn được chọn hoặc được đưa vào sổ ghi chú để NotebookLM xử lý.</w:t>
            </w:r>
          </w:p>
        </w:tc>
      </w:tr>
    </w:tbl>
    <w:p>
      <w:pPr>
        <w:spacing w:before="80" w:after="0"/>
        <w:jc w:val="center"/>
      </w:pPr>
      <w:r>
        <w:drawing>
          <wp:inline xmlns:a="http://schemas.openxmlformats.org/drawingml/2006/main" xmlns:pic="http://schemas.openxmlformats.org/drawingml/2006/picture">
            <wp:extent cx="5634000" cy="7296878"/>
            <wp:docPr id="8" name="Picture 8"/>
            <wp:cNvGraphicFramePr>
              <a:graphicFrameLocks noChangeAspect="1"/>
            </wp:cNvGraphicFramePr>
            <a:graphic>
              <a:graphicData uri="http://schemas.openxmlformats.org/drawingml/2006/picture">
                <pic:pic>
                  <pic:nvPicPr>
                    <pic:cNvPr id="0" name="notebooklm_page_09.png"/>
                    <pic:cNvPicPr/>
                  </pic:nvPicPr>
                  <pic:blipFill>
                    <a:blip r:embed="rId21"/>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16. Xem danh sách nguồn</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“Xem nguồn” theo vị trí được đánh dấu trong ảnh.</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Nguồn/tệp/truy vấn được chọn hoặc được đưa vào sổ ghi chú để NotebookLM xử lý.</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17. Chọn nguồn tham khảo</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“Ứng dụng công nghệ Blockchain trong truy xuất nguồn gốc sản phẩm, hàng hóa” theo vị trí được đánh dấu trong ảnh.</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Nguồn/tệp/truy vấn được chọn hoặc được đưa vào sổ ghi chú để NotebookLM xử lý.</w:t>
            </w:r>
          </w:p>
        </w:tc>
      </w:tr>
    </w:tbl>
    <w:p>
      <w:pPr>
        <w:spacing w:before="80" w:after="0"/>
        <w:jc w:val="center"/>
      </w:pPr>
      <w:r>
        <w:drawing>
          <wp:inline xmlns:a="http://schemas.openxmlformats.org/drawingml/2006/main" xmlns:pic="http://schemas.openxmlformats.org/drawingml/2006/picture">
            <wp:extent cx="5634000" cy="7296878"/>
            <wp:docPr id="9" name="Picture 9"/>
            <wp:cNvGraphicFramePr>
              <a:graphicFrameLocks noChangeAspect="1"/>
            </wp:cNvGraphicFramePr>
            <a:graphic>
              <a:graphicData uri="http://schemas.openxmlformats.org/drawingml/2006/picture">
                <pic:pic>
                  <pic:nvPicPr>
                    <pic:cNvPr id="0" name="notebooklm_page_10.png"/>
                    <pic:cNvPicPr/>
                  </pic:nvPicPr>
                  <pic:blipFill>
                    <a:blip r:embed="rId22"/>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18. Chọn thêm nguồn liên quan</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“Lần đầu tiên bổ sung quy định về ứng dụng trí tuệ nhân tạo trong đào tạo đại học” theo vị trí được đánh dấu trong ảnh.</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Nguồn/tệp/truy vấn được chọn hoặc được đưa vào sổ ghi chú để NotebookLM xử lý.</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19. Tạm dừng/đợi xử lý</w:t>
            </w:r>
          </w:p>
          <w:p>
            <w:pPr>
              <w:pStyle w:val="CT_Body"/>
            </w:pPr>
            <w:r>
              <w:rPr>
                <w:rFonts w:ascii="Arial" w:hAnsi="Arial" w:eastAsia="Arial"/>
                <w:b/>
                <w:color w:val="0B66D8"/>
                <w:sz w:val="16"/>
              </w:rPr>
              <w:t xml:space="preserve">Thao tác: </w:t>
            </w:r>
            <w:r>
              <w:rPr>
                <w:rFonts w:ascii="Arial" w:hAnsi="Arial" w:eastAsia="Arial"/>
                <w:b w:val="0"/>
                <w:color w:val="10223D"/>
                <w:sz w:val="16"/>
              </w:rPr>
              <w:t>Chờ hệ thống xử lý nội dung sau thao tác vừa thực hiện.</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NotebookLM hoàn tất hoặc tiếp tục tiến trình tạo nội dung.</w:t>
            </w:r>
          </w:p>
        </w:tc>
      </w:tr>
    </w:tbl>
    <w:p>
      <w:pPr>
        <w:spacing w:before="80" w:after="0"/>
        <w:jc w:val="center"/>
      </w:pPr>
      <w:r>
        <w:drawing>
          <wp:inline xmlns:a="http://schemas.openxmlformats.org/drawingml/2006/main" xmlns:pic="http://schemas.openxmlformats.org/drawingml/2006/picture">
            <wp:extent cx="5634000" cy="7296878"/>
            <wp:docPr id="10" name="Picture 10"/>
            <wp:cNvGraphicFramePr>
              <a:graphicFrameLocks noChangeAspect="1"/>
            </wp:cNvGraphicFramePr>
            <a:graphic>
              <a:graphicData uri="http://schemas.openxmlformats.org/drawingml/2006/picture">
                <pic:pic>
                  <pic:nvPicPr>
                    <pic:cNvPr id="0" name="notebooklm_page_11.png"/>
                    <pic:cNvPicPr/>
                  </pic:nvPicPr>
                  <pic:blipFill>
                    <a:blip r:embed="rId23"/>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20. Quay lại khu vực nguồn</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“here” theo vị trí được đánh dấu trong ảnh.</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Nguồn/tệp/truy vấn được chọn hoặc được đưa vào sổ ghi chú để NotebookLM xử lý.</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21. Nhập nguồn đã chọn</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“Nhập” theo vị trí được đánh dấu trong ảnh.</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Nguồn/tệp/truy vấn được chọn hoặc được đưa vào sổ ghi chú để NotebookLM xử lý.</w:t>
            </w:r>
          </w:p>
        </w:tc>
      </w:tr>
    </w:tbl>
    <w:p>
      <w:pPr>
        <w:spacing w:before="80" w:after="0"/>
        <w:jc w:val="center"/>
      </w:pPr>
      <w:r>
        <w:drawing>
          <wp:inline xmlns:a="http://schemas.openxmlformats.org/drawingml/2006/main" xmlns:pic="http://schemas.openxmlformats.org/drawingml/2006/picture">
            <wp:extent cx="5634000" cy="7296878"/>
            <wp:docPr id="11" name="Picture 11"/>
            <wp:cNvGraphicFramePr>
              <a:graphicFrameLocks noChangeAspect="1"/>
            </wp:cNvGraphicFramePr>
            <a:graphic>
              <a:graphicData uri="http://schemas.openxmlformats.org/drawingml/2006/picture">
                <pic:pic>
                  <pic:nvPicPr>
                    <pic:cNvPr id="0" name="notebooklm_page_12.png"/>
                    <pic:cNvPicPr/>
                  </pic:nvPicPr>
                  <pic:blipFill>
                    <a:blip r:embed="rId24"/>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22. Thêm đề xuất cho bản tổng quan âm thanh</w:t>
            </w:r>
          </w:p>
          <w:p>
            <w:pPr>
              <w:pStyle w:val="CT_Body"/>
            </w:pPr>
            <w:r>
              <w:rPr>
                <w:rFonts w:ascii="Arial" w:hAnsi="Arial" w:eastAsia="Arial"/>
                <w:b/>
                <w:color w:val="0B66D8"/>
                <w:sz w:val="16"/>
              </w:rPr>
              <w:t xml:space="preserve">Thao tác: </w:t>
            </w:r>
            <w:r>
              <w:rPr>
                <w:rFonts w:ascii="Arial" w:hAnsi="Arial" w:eastAsia="Arial"/>
                <w:b w:val="0"/>
                <w:color w:val="10223D"/>
                <w:sz w:val="16"/>
              </w:rPr>
              <w:t>Nhập hoặc chọn đề xuất: “Thêm đề xuất sau đây: Phân tích 5 công nghệ hàng đầu năm 2026 và tác động thực tế của chúng.”.</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Yêu cầu tùy chỉnh được đưa vào hộp thoại tạo nội dung.</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23. Tạo nội dung theo đề xuất</w:t>
            </w:r>
          </w:p>
          <w:p>
            <w:pPr>
              <w:pStyle w:val="CT_Body"/>
            </w:pPr>
            <w:r>
              <w:rPr>
                <w:rFonts w:ascii="Arial" w:hAnsi="Arial" w:eastAsia="Arial"/>
                <w:b/>
                <w:color w:val="0B66D8"/>
                <w:sz w:val="16"/>
              </w:rPr>
              <w:t xml:space="preserve">Thao tác: </w:t>
            </w:r>
            <w:r>
              <w:rPr>
                <w:rFonts w:ascii="Arial" w:hAnsi="Arial" w:eastAsia="Arial"/>
                <w:b w:val="0"/>
                <w:color w:val="10223D"/>
                <w:sz w:val="16"/>
              </w:rPr>
              <w:t>Chờ hệ thống xử lý nội dung sau thao tác vừa thực hiện.</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NotebookLM hoàn tất hoặc tiếp tục tiến trình tạo nội dung.</w:t>
            </w:r>
          </w:p>
        </w:tc>
      </w:tr>
    </w:tbl>
    <w:p>
      <w:pPr>
        <w:spacing w:before="80" w:after="0"/>
        <w:jc w:val="center"/>
      </w:pPr>
      <w:r>
        <w:drawing>
          <wp:inline xmlns:a="http://schemas.openxmlformats.org/drawingml/2006/main" xmlns:pic="http://schemas.openxmlformats.org/drawingml/2006/picture">
            <wp:extent cx="5634000" cy="7296878"/>
            <wp:docPr id="12" name="Picture 12"/>
            <wp:cNvGraphicFramePr>
              <a:graphicFrameLocks noChangeAspect="1"/>
            </wp:cNvGraphicFramePr>
            <a:graphic>
              <a:graphicData uri="http://schemas.openxmlformats.org/drawingml/2006/picture">
                <pic:pic>
                  <pic:nvPicPr>
                    <pic:cNvPr id="0" name="notebooklm_page_13.png"/>
                    <pic:cNvPicPr/>
                  </pic:nvPicPr>
                  <pic:blipFill>
                    <a:blip r:embed="rId25"/>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24. Đóng hộp thoại tùy chỉnh</w:t>
            </w:r>
          </w:p>
          <w:p>
            <w:pPr>
              <w:pStyle w:val="CT_Body"/>
            </w:pPr>
            <w:r>
              <w:rPr>
                <w:rFonts w:ascii="Arial" w:hAnsi="Arial" w:eastAsia="Arial"/>
                <w:b/>
                <w:color w:val="0B66D8"/>
                <w:sz w:val="16"/>
              </w:rPr>
              <w:t xml:space="preserve">Thao tác: </w:t>
            </w:r>
            <w:r>
              <w:rPr>
                <w:rFonts w:ascii="Arial" w:hAnsi="Arial" w:eastAsia="Arial"/>
                <w:b w:val="0"/>
                <w:color w:val="10223D"/>
                <w:sz w:val="16"/>
              </w:rPr>
              <w:t>Nhấp “Đóng hộp thoại” để đóng hộp thoại/cửa sổ hiện tại.</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Giao diện quay lại màn hình làm việc chính hoặc khu vực kết quả.</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25. Tùy chỉnh bản trình bày</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“Tuỳ chỉnh Bản trình bày” để tùy chỉnh/tạo nội dung trình bày hoặc video.</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NotebookLM bắt đầu tạo hoặc hiển thị nội dung trình bày/video.</w:t>
            </w:r>
          </w:p>
        </w:tc>
      </w:tr>
    </w:tbl>
    <w:p>
      <w:pPr>
        <w:spacing w:before="80" w:after="0"/>
        <w:jc w:val="center"/>
      </w:pPr>
      <w:r>
        <w:drawing>
          <wp:inline xmlns:a="http://schemas.openxmlformats.org/drawingml/2006/main" xmlns:pic="http://schemas.openxmlformats.org/drawingml/2006/picture">
            <wp:extent cx="5634000" cy="7296878"/>
            <wp:docPr id="13" name="Picture 13"/>
            <wp:cNvGraphicFramePr>
              <a:graphicFrameLocks noChangeAspect="1"/>
            </wp:cNvGraphicFramePr>
            <a:graphic>
              <a:graphicData uri="http://schemas.openxmlformats.org/drawingml/2006/picture">
                <pic:pic>
                  <pic:nvPicPr>
                    <pic:cNvPr id="0" name="notebooklm_page_14.png"/>
                    <pic:cNvPicPr/>
                  </pic:nvPicPr>
                  <pic:blipFill>
                    <a:blip r:embed="rId26"/>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26. Tạo bản trình bày</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“Tạo” để tùy chỉnh/tạo nội dung trình bày hoặc video.</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NotebookLM bắt đầu tạo hoặc hiển thị nội dung trình bày/video.</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27. Mở tổng quan bằng video</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“Tổng quan bằng video” để tùy chỉnh/tạo nội dung trình bày hoặc video.</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NotebookLM bắt đầu tạo hoặc hiển thị nội dung trình bày/video.</w:t>
            </w:r>
          </w:p>
        </w:tc>
      </w:tr>
    </w:tbl>
    <w:p>
      <w:pPr>
        <w:spacing w:before="80" w:after="0"/>
        <w:jc w:val="center"/>
      </w:pPr>
      <w:r>
        <w:drawing>
          <wp:inline xmlns:a="http://schemas.openxmlformats.org/drawingml/2006/main" xmlns:pic="http://schemas.openxmlformats.org/drawingml/2006/picture">
            <wp:extent cx="5634000" cy="7296878"/>
            <wp:docPr id="14" name="Picture 14"/>
            <wp:cNvGraphicFramePr>
              <a:graphicFrameLocks noChangeAspect="1"/>
            </wp:cNvGraphicFramePr>
            <a:graphic>
              <a:graphicData uri="http://schemas.openxmlformats.org/drawingml/2006/picture">
                <pic:pic>
                  <pic:nvPicPr>
                    <pic:cNvPr id="0" name="notebooklm_page_15.png"/>
                    <pic:cNvPicPr/>
                  </pic:nvPicPr>
                  <pic:blipFill>
                    <a:blip r:embed="rId27"/>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28. Mở khu vực nhập nội dung tùy chỉnh</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“here” để tùy chỉnh/tạo nội dung trình bày hoặc video.</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NotebookLM bắt đầu tạo hoặc hiển thị nội dung trình bày/video.</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29. Thêm đề xuất cho video</w:t>
            </w:r>
          </w:p>
          <w:p>
            <w:pPr>
              <w:pStyle w:val="CT_Body"/>
            </w:pPr>
            <w:r>
              <w:rPr>
                <w:rFonts w:ascii="Arial" w:hAnsi="Arial" w:eastAsia="Arial"/>
                <w:b/>
                <w:color w:val="0B66D8"/>
                <w:sz w:val="16"/>
              </w:rPr>
              <w:t xml:space="preserve">Thao tác: </w:t>
            </w:r>
            <w:r>
              <w:rPr>
                <w:rFonts w:ascii="Arial" w:hAnsi="Arial" w:eastAsia="Arial"/>
                <w:b w:val="0"/>
                <w:color w:val="10223D"/>
                <w:sz w:val="16"/>
              </w:rPr>
              <w:t>Nhập hoặc chọn đề xuất: “Thêm đề xuất sau đây: Trình bày các công nghệ đột phá 2026 dưới góc nhìn của một chuyên gia tư vấn.”.</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Yêu cầu tùy chỉnh được đưa vào hộp thoại tạo nội dung.</w:t>
            </w:r>
          </w:p>
        </w:tc>
      </w:tr>
    </w:tbl>
    <w:p>
      <w:pPr>
        <w:spacing w:before="80" w:after="0"/>
        <w:jc w:val="center"/>
      </w:pPr>
      <w:r>
        <w:drawing>
          <wp:inline xmlns:a="http://schemas.openxmlformats.org/drawingml/2006/main" xmlns:pic="http://schemas.openxmlformats.org/drawingml/2006/picture">
            <wp:extent cx="5634000" cy="7296878"/>
            <wp:docPr id="15" name="Picture 15"/>
            <wp:cNvGraphicFramePr>
              <a:graphicFrameLocks noChangeAspect="1"/>
            </wp:cNvGraphicFramePr>
            <a:graphic>
              <a:graphicData uri="http://schemas.openxmlformats.org/drawingml/2006/picture">
                <pic:pic>
                  <pic:nvPicPr>
                    <pic:cNvPr id="0" name="notebooklm_page_16.png"/>
                    <pic:cNvPicPr/>
                  </pic:nvPicPr>
                  <pic:blipFill>
                    <a:blip r:embed="rId28"/>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30. Tạo video theo đề xuất</w:t>
            </w:r>
          </w:p>
          <w:p>
            <w:pPr>
              <w:pStyle w:val="CT_Body"/>
            </w:pPr>
            <w:r>
              <w:rPr>
                <w:rFonts w:ascii="Arial" w:hAnsi="Arial" w:eastAsia="Arial"/>
                <w:b/>
                <w:color w:val="0B66D8"/>
                <w:sz w:val="16"/>
              </w:rPr>
              <w:t xml:space="preserve">Thao tác: </w:t>
            </w:r>
            <w:r>
              <w:rPr>
                <w:rFonts w:ascii="Arial" w:hAnsi="Arial" w:eastAsia="Arial"/>
                <w:b w:val="0"/>
                <w:color w:val="10223D"/>
                <w:sz w:val="16"/>
              </w:rPr>
              <w:t>Chờ hệ thống xử lý nội dung sau thao tác vừa thực hiện.</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NotebookLM hoàn tất hoặc tiếp tục tiến trình tạo nội dung.</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31. Đóng hộp thoại</w:t>
            </w:r>
          </w:p>
          <w:p>
            <w:pPr>
              <w:pStyle w:val="CT_Body"/>
            </w:pPr>
            <w:r>
              <w:rPr>
                <w:rFonts w:ascii="Arial" w:hAnsi="Arial" w:eastAsia="Arial"/>
                <w:b/>
                <w:color w:val="0B66D8"/>
                <w:sz w:val="16"/>
              </w:rPr>
              <w:t xml:space="preserve">Thao tác: </w:t>
            </w:r>
            <w:r>
              <w:rPr>
                <w:rFonts w:ascii="Arial" w:hAnsi="Arial" w:eastAsia="Arial"/>
                <w:b w:val="0"/>
                <w:color w:val="10223D"/>
                <w:sz w:val="16"/>
              </w:rPr>
              <w:t>Nhấp “Đóng hộp thoại” để đóng hộp thoại/cửa sổ hiện tại.</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Giao diện quay lại màn hình làm việc chính hoặc khu vực kết quả.</w:t>
            </w:r>
          </w:p>
        </w:tc>
      </w:tr>
    </w:tbl>
    <w:p>
      <w:pPr>
        <w:spacing w:before="80" w:after="0"/>
        <w:jc w:val="center"/>
      </w:pPr>
      <w:r>
        <w:drawing>
          <wp:inline xmlns:a="http://schemas.openxmlformats.org/drawingml/2006/main" xmlns:pic="http://schemas.openxmlformats.org/drawingml/2006/picture">
            <wp:extent cx="5634000" cy="7296878"/>
            <wp:docPr id="16" name="Picture 16"/>
            <wp:cNvGraphicFramePr>
              <a:graphicFrameLocks noChangeAspect="1"/>
            </wp:cNvGraphicFramePr>
            <a:graphic>
              <a:graphicData uri="http://schemas.openxmlformats.org/drawingml/2006/picture">
                <pic:pic>
                  <pic:nvPicPr>
                    <pic:cNvPr id="0" name="notebooklm_page_17.png"/>
                    <pic:cNvPicPr/>
                  </pic:nvPicPr>
                  <pic:blipFill>
                    <a:blip r:embed="rId29"/>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32. Tùy chỉnh bản đồ tư duy</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“Tuỳ chỉnh bản đồ tư duy” trong khu vực bản đồ tư duy/sơ đồ.</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Bản đồ tư duy hoặc nội dung chi tiết được mở rộng để quan sát và khai thác.</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33. Tạo bản đồ tư duy</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“Tạo” trong khu vực bản đồ tư duy/sơ đồ.</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Bản đồ tư duy hoặc nội dung chi tiết được mở rộng để quan sát và khai thác.</w:t>
            </w:r>
          </w:p>
        </w:tc>
      </w:tr>
    </w:tbl>
    <w:p>
      <w:pPr>
        <w:spacing w:before="80" w:after="0"/>
        <w:jc w:val="center"/>
      </w:pPr>
      <w:r>
        <w:drawing>
          <wp:inline xmlns:a="http://schemas.openxmlformats.org/drawingml/2006/main" xmlns:pic="http://schemas.openxmlformats.org/drawingml/2006/picture">
            <wp:extent cx="5634000" cy="7296878"/>
            <wp:docPr id="17" name="Picture 17"/>
            <wp:cNvGraphicFramePr>
              <a:graphicFrameLocks noChangeAspect="1"/>
            </wp:cNvGraphicFramePr>
            <a:graphic>
              <a:graphicData uri="http://schemas.openxmlformats.org/drawingml/2006/picture">
                <pic:pic>
                  <pic:nvPicPr>
                    <pic:cNvPr id="0" name="notebooklm_page_18.png"/>
                    <pic:cNvPicPr/>
                  </pic:nvPicPr>
                  <pic:blipFill>
                    <a:blip r:embed="rId30"/>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34. Mở chức năng báo cáo</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“Báo cáo” trong Studio/khu vực công cụ.</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Công cụ tương ứng được mở để tạo báo cáo, thẻ thông tin, bài kiểm tra, infographic hoặc bảng dữ liệu.</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35. Chọn tài liệu tổng hợp kiến thức</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“Tài liệu tổng hợp kiến thức” trong Studio/khu vực công cụ.</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Công cụ tương ứng được mở để tạo báo cáo, thẻ thông tin, bài kiểm tra, infographic hoặc bảng dữ liệu.</w:t>
            </w:r>
          </w:p>
        </w:tc>
      </w:tr>
    </w:tbl>
    <w:p>
      <w:pPr>
        <w:spacing w:before="80" w:after="0"/>
        <w:jc w:val="center"/>
      </w:pPr>
      <w:r>
        <w:drawing>
          <wp:inline xmlns:a="http://schemas.openxmlformats.org/drawingml/2006/main" xmlns:pic="http://schemas.openxmlformats.org/drawingml/2006/picture">
            <wp:extent cx="5634000" cy="7296878"/>
            <wp:docPr id="18" name="Picture 18"/>
            <wp:cNvGraphicFramePr>
              <a:graphicFrameLocks noChangeAspect="1"/>
            </wp:cNvGraphicFramePr>
            <a:graphic>
              <a:graphicData uri="http://schemas.openxmlformats.org/drawingml/2006/picture">
                <pic:pic>
                  <pic:nvPicPr>
                    <pic:cNvPr id="0" name="notebooklm_page_19.png"/>
                    <pic:cNvPicPr/>
                  </pic:nvPicPr>
                  <pic:blipFill>
                    <a:blip r:embed="rId31"/>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36. Tùy chỉnh thẻ thông tin</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“Tuỳ chỉnh Thẻ thông tin” trong Studio/khu vực công cụ.</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Công cụ tương ứng được mở để tạo báo cáo, thẻ thông tin, bài kiểm tra, infographic hoặc bảng dữ liệu.</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37. Đóng hộp thoại</w:t>
            </w:r>
          </w:p>
          <w:p>
            <w:pPr>
              <w:pStyle w:val="CT_Body"/>
            </w:pPr>
            <w:r>
              <w:rPr>
                <w:rFonts w:ascii="Arial" w:hAnsi="Arial" w:eastAsia="Arial"/>
                <w:b/>
                <w:color w:val="0B66D8"/>
                <w:sz w:val="16"/>
              </w:rPr>
              <w:t xml:space="preserve">Thao tác: </w:t>
            </w:r>
            <w:r>
              <w:rPr>
                <w:rFonts w:ascii="Arial" w:hAnsi="Arial" w:eastAsia="Arial"/>
                <w:b w:val="0"/>
                <w:color w:val="10223D"/>
                <w:sz w:val="16"/>
              </w:rPr>
              <w:t>Nhấp “Đóng” để đóng hộp thoại/cửa sổ hiện tại.</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Giao diện quay lại màn hình làm việc chính hoặc khu vực kết quả.</w:t>
            </w:r>
          </w:p>
        </w:tc>
      </w:tr>
    </w:tbl>
    <w:p>
      <w:pPr>
        <w:spacing w:before="80" w:after="0"/>
        <w:jc w:val="center"/>
      </w:pPr>
      <w:r>
        <w:drawing>
          <wp:inline xmlns:a="http://schemas.openxmlformats.org/drawingml/2006/main" xmlns:pic="http://schemas.openxmlformats.org/drawingml/2006/picture">
            <wp:extent cx="5634000" cy="7296878"/>
            <wp:docPr id="19" name="Picture 19"/>
            <wp:cNvGraphicFramePr>
              <a:graphicFrameLocks noChangeAspect="1"/>
            </wp:cNvGraphicFramePr>
            <a:graphic>
              <a:graphicData uri="http://schemas.openxmlformats.org/drawingml/2006/picture">
                <pic:pic>
                  <pic:nvPicPr>
                    <pic:cNvPr id="0" name="notebooklm_page_20.png"/>
                    <pic:cNvPicPr/>
                  </pic:nvPicPr>
                  <pic:blipFill>
                    <a:blip r:embed="rId32"/>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38. Tùy chỉnh bài kiểm tra</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“Tuỳ chỉnh Bài kiểm tra” trong Studio/khu vực công cụ.</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Công cụ tương ứng được mở để tạo báo cáo, thẻ thông tin, bài kiểm tra, infographic hoặc bảng dữ liệu.</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39. Mở khu vực nhập yêu cầu</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“here” trong Studio/khu vực công cụ.</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Công cụ tương ứng được mở để tạo báo cáo, thẻ thông tin, bài kiểm tra, infographic hoặc bảng dữ liệu.</w:t>
            </w:r>
          </w:p>
        </w:tc>
      </w:tr>
    </w:tbl>
    <w:p>
      <w:pPr>
        <w:spacing w:before="80" w:after="0"/>
        <w:jc w:val="center"/>
      </w:pPr>
      <w:r>
        <w:drawing>
          <wp:inline xmlns:a="http://schemas.openxmlformats.org/drawingml/2006/main" xmlns:pic="http://schemas.openxmlformats.org/drawingml/2006/picture">
            <wp:extent cx="5634000" cy="7296878"/>
            <wp:docPr id="20" name="Picture 20"/>
            <wp:cNvGraphicFramePr>
              <a:graphicFrameLocks noChangeAspect="1"/>
            </wp:cNvGraphicFramePr>
            <a:graphic>
              <a:graphicData uri="http://schemas.openxmlformats.org/drawingml/2006/picture">
                <pic:pic>
                  <pic:nvPicPr>
                    <pic:cNvPr id="0" name="notebooklm_page_21.png"/>
                    <pic:cNvPicPr/>
                  </pic:nvPicPr>
                  <pic:blipFill>
                    <a:blip r:embed="rId33"/>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40. Tùy chỉnh bản đồ họa thông tin</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“Tuỳ chỉnh Bản đồ hoạ thông tin” trong Studio/khu vực công cụ.</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Công cụ tương ứng được mở để tạo báo cáo, thẻ thông tin, bài kiểm tra, infographic hoặc bảng dữ liệu.</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41. Chọn phong cách hình ảnh</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“Chọn phong cách hình ảnh” trong Studio/khu vực công cụ.</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Công cụ tương ứng được mở để tạo báo cáo, thẻ thông tin, bài kiểm tra, infographic hoặc bảng dữ liệu.</w:t>
            </w:r>
          </w:p>
        </w:tc>
      </w:tr>
    </w:tbl>
    <w:p>
      <w:pPr>
        <w:spacing w:before="80" w:after="0"/>
        <w:jc w:val="center"/>
      </w:pPr>
      <w:r>
        <w:drawing>
          <wp:inline xmlns:a="http://schemas.openxmlformats.org/drawingml/2006/main" xmlns:pic="http://schemas.openxmlformats.org/drawingml/2006/picture">
            <wp:extent cx="5634000" cy="7296878"/>
            <wp:docPr id="21" name="Picture 21"/>
            <wp:cNvGraphicFramePr>
              <a:graphicFrameLocks noChangeAspect="1"/>
            </wp:cNvGraphicFramePr>
            <a:graphic>
              <a:graphicData uri="http://schemas.openxmlformats.org/drawingml/2006/picture">
                <pic:pic>
                  <pic:nvPicPr>
                    <pic:cNvPr id="0" name="notebooklm_page_22.png"/>
                    <pic:cNvPicPr/>
                  </pic:nvPicPr>
                  <pic:blipFill>
                    <a:blip r:embed="rId34"/>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42. Chọn mục băng chuyền</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“Mục băng chuyền” trong Studio/khu vực công cụ.</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Công cụ tương ứng được mở để tạo báo cáo, thẻ thông tin, bài kiểm tra, infographic hoặc bảng dữ liệu.</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43. Đợi hệ thống xử lý</w:t>
            </w:r>
          </w:p>
          <w:p>
            <w:pPr>
              <w:pStyle w:val="CT_Body"/>
            </w:pPr>
            <w:r>
              <w:rPr>
                <w:rFonts w:ascii="Arial" w:hAnsi="Arial" w:eastAsia="Arial"/>
                <w:b/>
                <w:color w:val="0B66D8"/>
                <w:sz w:val="16"/>
              </w:rPr>
              <w:t xml:space="preserve">Thao tác: </w:t>
            </w:r>
            <w:r>
              <w:rPr>
                <w:rFonts w:ascii="Arial" w:hAnsi="Arial" w:eastAsia="Arial"/>
                <w:b w:val="0"/>
                <w:color w:val="10223D"/>
                <w:sz w:val="16"/>
              </w:rPr>
              <w:t>Chờ hệ thống xử lý nội dung sau thao tác vừa thực hiện.</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NotebookLM hoàn tất hoặc tiếp tục tiến trình tạo nội dung.</w:t>
            </w:r>
          </w:p>
        </w:tc>
      </w:tr>
    </w:tbl>
    <w:p>
      <w:pPr>
        <w:spacing w:before="80" w:after="0"/>
        <w:jc w:val="center"/>
      </w:pPr>
      <w:r>
        <w:drawing>
          <wp:inline xmlns:a="http://schemas.openxmlformats.org/drawingml/2006/main" xmlns:pic="http://schemas.openxmlformats.org/drawingml/2006/picture">
            <wp:extent cx="5634000" cy="7296878"/>
            <wp:docPr id="22" name="Picture 22"/>
            <wp:cNvGraphicFramePr>
              <a:graphicFrameLocks noChangeAspect="1"/>
            </wp:cNvGraphicFramePr>
            <a:graphic>
              <a:graphicData uri="http://schemas.openxmlformats.org/drawingml/2006/picture">
                <pic:pic>
                  <pic:nvPicPr>
                    <pic:cNvPr id="0" name="notebooklm_page_23.png"/>
                    <pic:cNvPicPr/>
                  </pic:nvPicPr>
                  <pic:blipFill>
                    <a:blip r:embed="rId35"/>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44. Tạo bản đồ họa thông tin</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“Tạo” trong Studio/khu vực công cụ.</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Công cụ tương ứng được mở để tạo báo cáo, thẻ thông tin, bài kiểm tra, infographic hoặc bảng dữ liệu.</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45. Tùy chỉnh bảng dữ liệu</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“Tuỳ chỉnh Bảng dữ liệu” trong Studio/khu vực công cụ.</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Công cụ tương ứng được mở để tạo báo cáo, thẻ thông tin, bài kiểm tra, infographic hoặc bảng dữ liệu.</w:t>
            </w:r>
          </w:p>
        </w:tc>
      </w:tr>
    </w:tbl>
    <w:p>
      <w:pPr>
        <w:spacing w:before="80" w:after="0"/>
        <w:jc w:val="center"/>
      </w:pPr>
      <w:r>
        <w:drawing>
          <wp:inline xmlns:a="http://schemas.openxmlformats.org/drawingml/2006/main" xmlns:pic="http://schemas.openxmlformats.org/drawingml/2006/picture">
            <wp:extent cx="5634000" cy="7296878"/>
            <wp:docPr id="23" name="Picture 23"/>
            <wp:cNvGraphicFramePr>
              <a:graphicFrameLocks noChangeAspect="1"/>
            </wp:cNvGraphicFramePr>
            <a:graphic>
              <a:graphicData uri="http://schemas.openxmlformats.org/drawingml/2006/picture">
                <pic:pic>
                  <pic:nvPicPr>
                    <pic:cNvPr id="0" name="notebooklm_page_24.png"/>
                    <pic:cNvPicPr/>
                  </pic:nvPicPr>
                  <pic:blipFill>
                    <a:blip r:embed="rId36"/>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46. Mở mục kết quả/đầu ra</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“here” trong Studio/khu vực công cụ.</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Công cụ tương ứng được mở để tạo báo cáo, thẻ thông tin, bài kiểm tra, infographic hoặc bảng dữ liệu.</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47. Mở sơ đồ đã tạo</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“Chuyển đổi Sơ đồ 11 nguồn · 1 phút trước” trong khu vực bản đồ tư duy/sơ đồ.</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Bản đồ tư duy hoặc nội dung chi tiết được mở rộng để quan sát và khai thác.</w:t>
            </w:r>
          </w:p>
        </w:tc>
      </w:tr>
    </w:tbl>
    <w:p>
      <w:pPr>
        <w:spacing w:before="80" w:after="0"/>
        <w:jc w:val="center"/>
      </w:pPr>
      <w:r>
        <w:drawing>
          <wp:inline xmlns:a="http://schemas.openxmlformats.org/drawingml/2006/main" xmlns:pic="http://schemas.openxmlformats.org/drawingml/2006/picture">
            <wp:extent cx="5634000" cy="7296878"/>
            <wp:docPr id="24" name="Picture 24"/>
            <wp:cNvGraphicFramePr>
              <a:graphicFrameLocks noChangeAspect="1"/>
            </wp:cNvGraphicFramePr>
            <a:graphic>
              <a:graphicData uri="http://schemas.openxmlformats.org/drawingml/2006/picture">
                <pic:pic>
                  <pic:nvPicPr>
                    <pic:cNvPr id="0" name="notebooklm_page_25.png"/>
                    <pic:cNvPicPr/>
                  </pic:nvPicPr>
                  <pic:blipFill>
                    <a:blip r:embed="rId37"/>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48. Mở rộng sơ đồ</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“Mở rộng” trong khu vực bản đồ tư duy/sơ đồ.</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Bản đồ tư duy hoặc nội dung chi tiết được mở rộng để quan sát và khai thác.</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49. Điều hướng cây sơ đồ tư duy</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“Interactive mindmap tree. Use arrow keys to navigate.” trong khu vực bản đồ tư duy/sơ đồ.</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Bản đồ tư duy hoặc nội dung chi tiết được mở rộng để quan sát và khai thác.</w:t>
            </w:r>
          </w:p>
        </w:tc>
      </w:tr>
    </w:tbl>
    <w:p>
      <w:pPr>
        <w:spacing w:before="80" w:after="0"/>
        <w:jc w:val="center"/>
      </w:pPr>
      <w:r>
        <w:drawing>
          <wp:inline xmlns:a="http://schemas.openxmlformats.org/drawingml/2006/main" xmlns:pic="http://schemas.openxmlformats.org/drawingml/2006/picture">
            <wp:extent cx="5634000" cy="7296878"/>
            <wp:docPr id="25" name="Picture 25"/>
            <wp:cNvGraphicFramePr>
              <a:graphicFrameLocks noChangeAspect="1"/>
            </wp:cNvGraphicFramePr>
            <a:graphic>
              <a:graphicData uri="http://schemas.openxmlformats.org/drawingml/2006/picture">
                <pic:pic>
                  <pic:nvPicPr>
                    <pic:cNvPr id="0" name="notebooklm_page_26.png"/>
                    <pic:cNvPicPr/>
                  </pic:nvPicPr>
                  <pic:blipFill>
                    <a:blip r:embed="rId38"/>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50. Chọn nút/nội dung trong sơ đồ</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“here” trong khu vực bản đồ tư duy/sơ đồ.</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Bản đồ tư duy hoặc nội dung chi tiết được mở rộng để quan sát và khai thác.</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51. Tiếp tục điều hướng sơ đồ</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“Interactive mindmap tree. Use arrow keys to navigate.” trong khu vực bản đồ tư duy/sơ đồ.</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Bản đồ tư duy hoặc nội dung chi tiết được mở rộng để quan sát và khai thác.</w:t>
            </w:r>
          </w:p>
        </w:tc>
      </w:tr>
    </w:tbl>
    <w:p>
      <w:pPr>
        <w:spacing w:before="80" w:after="0"/>
        <w:jc w:val="center"/>
      </w:pPr>
      <w:r>
        <w:drawing>
          <wp:inline xmlns:a="http://schemas.openxmlformats.org/drawingml/2006/main" xmlns:pic="http://schemas.openxmlformats.org/drawingml/2006/picture">
            <wp:extent cx="5634000" cy="7296878"/>
            <wp:docPr id="26" name="Picture 26"/>
            <wp:cNvGraphicFramePr>
              <a:graphicFrameLocks noChangeAspect="1"/>
            </wp:cNvGraphicFramePr>
            <a:graphic>
              <a:graphicData uri="http://schemas.openxmlformats.org/drawingml/2006/picture">
                <pic:pic>
                  <pic:nvPicPr>
                    <pic:cNvPr id="0" name="notebooklm_page_27.png"/>
                    <pic:cNvPicPr/>
                  </pic:nvPicPr>
                  <pic:blipFill>
                    <a:blip r:embed="rId39"/>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9354"/>
      </w:tblGrid>
      <w:tr>
        <w:tc>
          <w:tcPr>
            <w:tcW w:type="dxa" w:w="9355"/>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52. Chọn nội dung chi tiết</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“here” trong khu vực bản đồ tư duy/sơ đồ.</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Bản đồ tư duy hoặc nội dung chi tiết được mở rộng để quan sát và khai thác.</w:t>
            </w:r>
          </w:p>
        </w:tc>
      </w:tr>
    </w:tbl>
    <w:p>
      <w:pPr>
        <w:spacing w:before="80" w:after="0"/>
        <w:jc w:val="center"/>
      </w:pPr>
      <w:r>
        <w:drawing>
          <wp:inline xmlns:a="http://schemas.openxmlformats.org/drawingml/2006/main" xmlns:pic="http://schemas.openxmlformats.org/drawingml/2006/picture">
            <wp:extent cx="5634000" cy="7296878"/>
            <wp:docPr id="27" name="Picture 27"/>
            <wp:cNvGraphicFramePr>
              <a:graphicFrameLocks noChangeAspect="1"/>
            </wp:cNvGraphicFramePr>
            <a:graphic>
              <a:graphicData uri="http://schemas.openxmlformats.org/drawingml/2006/picture">
                <pic:pic>
                  <pic:nvPicPr>
                    <pic:cNvPr id="0" name="notebooklm_page_28.png"/>
                    <pic:cNvPicPr/>
                  </pic:nvPicPr>
                  <pic:blipFill>
                    <a:blip r:embed="rId40"/>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9354"/>
      </w:tblGrid>
      <w:tr>
        <w:tc>
          <w:tcPr>
            <w:tcW w:type="dxa" w:w="9355"/>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53. Chọn đoạn/nội dung trong tài liệu tổng hợp</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“trong kỷ nguyên số. Đây là chiến lược toàn diện nhằm kết hợp giữa việc ngăn chặn thông tin tiêu cực và lan tỏa mạnh mẽ những giá trị tích cực.” trong khu vực tài liệu/kết quả.</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Tài liệu/kết quả được mở, xuất, tải xuống hoặc hiển thị để sử dụng tiếp.</w:t>
            </w:r>
          </w:p>
        </w:tc>
      </w:tr>
    </w:tbl>
    <w:p>
      <w:pPr>
        <w:spacing w:before="80" w:after="0"/>
        <w:jc w:val="center"/>
      </w:pPr>
      <w:r>
        <w:drawing>
          <wp:inline xmlns:a="http://schemas.openxmlformats.org/drawingml/2006/main" xmlns:pic="http://schemas.openxmlformats.org/drawingml/2006/picture">
            <wp:extent cx="5634000" cy="7296878"/>
            <wp:docPr id="28" name="Picture 28"/>
            <wp:cNvGraphicFramePr>
              <a:graphicFrameLocks noChangeAspect="1"/>
            </wp:cNvGraphicFramePr>
            <a:graphic>
              <a:graphicData uri="http://schemas.openxmlformats.org/drawingml/2006/picture">
                <pic:pic>
                  <pic:nvPicPr>
                    <pic:cNvPr id="0" name="notebooklm_page_29.png"/>
                    <pic:cNvPicPr/>
                  </pic:nvPicPr>
                  <pic:blipFill>
                    <a:blip r:embed="rId41"/>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9354"/>
      </w:tblGrid>
      <w:tr>
        <w:tc>
          <w:tcPr>
            <w:tcW w:type="dxa" w:w="9355"/>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54. Mở tài liệu tổng hợp kiến thức</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“CHUYỂN ĐỔI KÉP: KHI CÔNG NGHỆ SỐ KẾT DUYÊN CÙNG TƯƠNG LAI XANH Tài liệu tổng hợp kiến thức · 11 nguồn · 1 phút trước” trong khu vực tài liệu/kết quả.</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Tài liệu/kết quả được mở, xuất, tải xuống hoặc hiển thị để sử dụng tiếp.</w:t>
            </w:r>
          </w:p>
        </w:tc>
      </w:tr>
    </w:tbl>
    <w:p>
      <w:pPr>
        <w:spacing w:before="80" w:after="0"/>
        <w:jc w:val="center"/>
      </w:pPr>
      <w:r>
        <w:drawing>
          <wp:inline xmlns:a="http://schemas.openxmlformats.org/drawingml/2006/main" xmlns:pic="http://schemas.openxmlformats.org/drawingml/2006/picture">
            <wp:extent cx="5634000" cy="7296878"/>
            <wp:docPr id="29" name="Picture 29"/>
            <wp:cNvGraphicFramePr>
              <a:graphicFrameLocks noChangeAspect="1"/>
            </wp:cNvGraphicFramePr>
            <a:graphic>
              <a:graphicData uri="http://schemas.openxmlformats.org/drawingml/2006/picture">
                <pic:pic>
                  <pic:nvPicPr>
                    <pic:cNvPr id="0" name="notebooklm_page_30.png"/>
                    <pic:cNvPicPr/>
                  </pic:nvPicPr>
                  <pic:blipFill>
                    <a:blip r:embed="rId42"/>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55. Mở lựa chọn khác</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“Lựa chọn khác” trong khu vực tài liệu/kết quả.</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Tài liệu/kết quả được mở, xuất, tải xuống hoặc hiển thị để sử dụng tiếp.</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56. Xuất sang Tài liệu</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“Xuất sang Tài liệu” trong khu vực tài liệu/kết quả.</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Tài liệu/kết quả được mở, xuất, tải xuống hoặc hiển thị để sử dụng tiếp.</w:t>
            </w:r>
          </w:p>
        </w:tc>
      </w:tr>
    </w:tbl>
    <w:p>
      <w:pPr>
        <w:spacing w:before="80" w:after="0"/>
        <w:jc w:val="center"/>
      </w:pPr>
      <w:r>
        <w:drawing>
          <wp:inline xmlns:a="http://schemas.openxmlformats.org/drawingml/2006/main" xmlns:pic="http://schemas.openxmlformats.org/drawingml/2006/picture">
            <wp:extent cx="5634000" cy="7296878"/>
            <wp:docPr id="30" name="Picture 30"/>
            <wp:cNvGraphicFramePr>
              <a:graphicFrameLocks noChangeAspect="1"/>
            </wp:cNvGraphicFramePr>
            <a:graphic>
              <a:graphicData uri="http://schemas.openxmlformats.org/drawingml/2006/picture">
                <pic:pic>
                  <pic:nvPicPr>
                    <pic:cNvPr id="0" name="notebooklm_page_31.png"/>
                    <pic:cNvPicPr/>
                  </pic:nvPicPr>
                  <pic:blipFill>
                    <a:blip r:embed="rId43"/>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57. Đóng hộp thoại</w:t>
            </w:r>
          </w:p>
          <w:p>
            <w:pPr>
              <w:pStyle w:val="CT_Body"/>
            </w:pPr>
            <w:r>
              <w:rPr>
                <w:rFonts w:ascii="Arial" w:hAnsi="Arial" w:eastAsia="Arial"/>
                <w:b/>
                <w:color w:val="0B66D8"/>
                <w:sz w:val="16"/>
              </w:rPr>
              <w:t xml:space="preserve">Thao tác: </w:t>
            </w:r>
            <w:r>
              <w:rPr>
                <w:rFonts w:ascii="Arial" w:hAnsi="Arial" w:eastAsia="Arial"/>
                <w:b w:val="0"/>
                <w:color w:val="10223D"/>
                <w:sz w:val="16"/>
              </w:rPr>
              <w:t>Nhấp “Close” để đóng hộp thoại/cửa sổ hiện tại.</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Giao diện quay lại màn hình làm việc chính hoặc khu vực kết quả.</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58. Mở lại nội dung/tài liệu đã tạo</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“here” trong khu vực tài liệu/kết quả.</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Tài liệu/kết quả được mở, xuất, tải xuống hoặc hiển thị để sử dụng tiếp.</w:t>
            </w:r>
          </w:p>
        </w:tc>
      </w:tr>
    </w:tbl>
    <w:p>
      <w:pPr>
        <w:spacing w:before="80" w:after="0"/>
        <w:jc w:val="center"/>
      </w:pPr>
      <w:r>
        <w:drawing>
          <wp:inline xmlns:a="http://schemas.openxmlformats.org/drawingml/2006/main" xmlns:pic="http://schemas.openxmlformats.org/drawingml/2006/picture">
            <wp:extent cx="5634000" cy="7296878"/>
            <wp:docPr id="31" name="Picture 31"/>
            <wp:cNvGraphicFramePr>
              <a:graphicFrameLocks noChangeAspect="1"/>
            </wp:cNvGraphicFramePr>
            <a:graphic>
              <a:graphicData uri="http://schemas.openxmlformats.org/drawingml/2006/picture">
                <pic:pic>
                  <pic:nvPicPr>
                    <pic:cNvPr id="0" name="notebooklm_page_32.png"/>
                    <pic:cNvPicPr/>
                  </pic:nvPicPr>
                  <pic:blipFill>
                    <a:blip r:embed="rId44"/>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59. Mở sổ ghi chú/kết quả đã tạo</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“Chuyển Đổi Kép Năm 2026 11 nguồn · 1 phút trước” trong khu vực tài liệu/kết quả.</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Tài liệu/kết quả được mở, xuất, tải xuống hoặc hiển thị để sử dụng tiếp.</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60. Mở lựa chọn khác</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“Lựa chọn khác” trong khu vực tài liệu/kết quả.</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Tài liệu/kết quả được mở, xuất, tải xuống hoặc hiển thị để sử dụng tiếp.</w:t>
            </w:r>
          </w:p>
        </w:tc>
      </w:tr>
    </w:tbl>
    <w:p>
      <w:pPr>
        <w:spacing w:before="80" w:after="0"/>
        <w:jc w:val="center"/>
      </w:pPr>
      <w:r>
        <w:drawing>
          <wp:inline xmlns:a="http://schemas.openxmlformats.org/drawingml/2006/main" xmlns:pic="http://schemas.openxmlformats.org/drawingml/2006/picture">
            <wp:extent cx="5634000" cy="7296878"/>
            <wp:docPr id="32" name="Picture 32"/>
            <wp:cNvGraphicFramePr>
              <a:graphicFrameLocks noChangeAspect="1"/>
            </wp:cNvGraphicFramePr>
            <a:graphic>
              <a:graphicData uri="http://schemas.openxmlformats.org/drawingml/2006/picture">
                <pic:pic>
                  <pic:nvPicPr>
                    <pic:cNvPr id="0" name="notebooklm_page_33.png"/>
                    <pic:cNvPicPr/>
                  </pic:nvPicPr>
                  <pic:blipFill>
                    <a:blip r:embed="rId45"/>
                    <a:stretch>
                      <a:fillRect/>
                    </a:stretch>
                  </pic:blipFill>
                  <pic:spPr>
                    <a:xfrm>
                      <a:off x="0" y="0"/>
                      <a:ext cx="5634000" cy="7296878"/>
                    </a:xfrm>
                    <a:prstGeom prst="rect"/>
                  </pic:spPr>
                </pic:pic>
              </a:graphicData>
            </a:graphic>
          </wp:inline>
        </w:drawing>
      </w:r>
    </w:p>
    <w:p>
      <w:r>
        <w:br w:type="page"/>
      </w:r>
    </w:p>
    <w:tbl>
      <w:tblPr>
        <w:tblW w:type="auto" w:w="0"/>
        <w:jc w:val="center"/>
        <w:tblLayout w:type="fixed"/>
        <w:tblLook w:firstColumn="1" w:firstRow="1" w:lastColumn="0" w:lastRow="0" w:noHBand="0" w:noVBand="1" w:val="04A0"/>
      </w:tblPr>
      <w:tblGrid>
        <w:gridCol w:w="4677"/>
        <w:gridCol w:w="4677"/>
      </w:tblGrid>
      <w:tr>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61. Tải xuống</w:t>
            </w:r>
          </w:p>
          <w:p>
            <w:pPr>
              <w:pStyle w:val="CT_Body"/>
            </w:pPr>
            <w:r>
              <w:rPr>
                <w:rFonts w:ascii="Arial" w:hAnsi="Arial" w:eastAsia="Arial"/>
                <w:b/>
                <w:color w:val="0B66D8"/>
                <w:sz w:val="16"/>
              </w:rPr>
              <w:t xml:space="preserve">Thao tác: </w:t>
            </w:r>
            <w:r>
              <w:rPr>
                <w:rFonts w:ascii="Arial" w:hAnsi="Arial" w:eastAsia="Arial"/>
                <w:b w:val="0"/>
                <w:color w:val="10223D"/>
                <w:sz w:val="16"/>
              </w:rPr>
              <w:t>Nhấp vào “Tải xuống” trong khu vực tài liệu/kết quả.</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Tài liệu/kết quả được mở, xuất, tải xuống hoặc hiển thị để sử dụng tiếp.</w:t>
            </w:r>
          </w:p>
        </w:tc>
        <w:tc>
          <w:tcPr>
            <w:tcW w:type="dxa" w:w="4677"/>
            <w:shd w:fill="EBF7FF"/>
            <w:tcBorders>
              <w:top w:val="single" w:sz="8" w:space="0" w:color="29D3F5"/>
              <w:left w:val="single" w:sz="8" w:space="0" w:color="29D3F5"/>
              <w:bottom w:val="single" w:sz="8" w:space="0" w:color="29D3F5"/>
              <w:right w:val="single" w:sz="8" w:space="0" w:color="29D3F5"/>
            </w:tcBorders>
            <w:tcMar>
              <w:top w:w="65" w:type="dxa"/>
              <w:start w:w="85" w:type="dxa"/>
              <w:bottom w:w="65" w:type="dxa"/>
              <w:end w:w="85" w:type="dxa"/>
            </w:tcMar>
          </w:tcPr>
          <w:p>
            <w:r>
              <w:rPr>
                <w:rFonts w:ascii="Arial" w:hAnsi="Arial" w:eastAsia="Arial"/>
                <w:b/>
                <w:color w:val="062B63"/>
                <w:sz w:val="18"/>
              </w:rPr>
              <w:t>Bước 62. Đóng cửa sổ/hộp thoại</w:t>
            </w:r>
          </w:p>
          <w:p>
            <w:pPr>
              <w:pStyle w:val="CT_Body"/>
            </w:pPr>
            <w:r>
              <w:rPr>
                <w:rFonts w:ascii="Arial" w:hAnsi="Arial" w:eastAsia="Arial"/>
                <w:b/>
                <w:color w:val="0B66D8"/>
                <w:sz w:val="16"/>
              </w:rPr>
              <w:t xml:space="preserve">Thao tác: </w:t>
            </w:r>
            <w:r>
              <w:rPr>
                <w:rFonts w:ascii="Arial" w:hAnsi="Arial" w:eastAsia="Arial"/>
                <w:b w:val="0"/>
                <w:color w:val="10223D"/>
                <w:sz w:val="16"/>
              </w:rPr>
              <w:t>Nhấp “Đóng” để đóng hộp thoại/cửa sổ hiện tại.</w:t>
            </w:r>
          </w:p>
          <w:p>
            <w:pPr>
              <w:pStyle w:val="CT_Body"/>
            </w:pPr>
            <w:r>
              <w:rPr>
                <w:rFonts w:ascii="Arial" w:hAnsi="Arial" w:eastAsia="Arial"/>
                <w:b/>
                <w:color w:val="22A78C"/>
                <w:sz w:val="16"/>
              </w:rPr>
              <w:t xml:space="preserve">Kết quả cần đạt: </w:t>
            </w:r>
            <w:r>
              <w:rPr>
                <w:rFonts w:ascii="Arial" w:hAnsi="Arial" w:eastAsia="Arial"/>
                <w:b w:val="0"/>
                <w:color w:val="10223D"/>
                <w:sz w:val="16"/>
              </w:rPr>
              <w:t>Giao diện quay lại màn hình làm việc chính hoặc khu vực kết quả.</w:t>
            </w:r>
          </w:p>
        </w:tc>
      </w:tr>
    </w:tbl>
    <w:p>
      <w:pPr>
        <w:spacing w:before="80" w:after="0"/>
        <w:jc w:val="center"/>
      </w:pPr>
      <w:r>
        <w:drawing>
          <wp:inline xmlns:a="http://schemas.openxmlformats.org/drawingml/2006/main" xmlns:pic="http://schemas.openxmlformats.org/drawingml/2006/picture">
            <wp:extent cx="5634000" cy="7296878"/>
            <wp:docPr id="33" name="Picture 33"/>
            <wp:cNvGraphicFramePr>
              <a:graphicFrameLocks noChangeAspect="1"/>
            </wp:cNvGraphicFramePr>
            <a:graphic>
              <a:graphicData uri="http://schemas.openxmlformats.org/drawingml/2006/picture">
                <pic:pic>
                  <pic:nvPicPr>
                    <pic:cNvPr id="0" name="notebooklm_page_34.png"/>
                    <pic:cNvPicPr/>
                  </pic:nvPicPr>
                  <pic:blipFill>
                    <a:blip r:embed="rId46"/>
                    <a:stretch>
                      <a:fillRect/>
                    </a:stretch>
                  </pic:blipFill>
                  <pic:spPr>
                    <a:xfrm>
                      <a:off x="0" y="0"/>
                      <a:ext cx="5634000" cy="7296878"/>
                    </a:xfrm>
                    <a:prstGeom prst="rect"/>
                  </pic:spPr>
                </pic:pic>
              </a:graphicData>
            </a:graphic>
          </wp:inline>
        </w:drawing>
      </w:r>
    </w:p>
    <w:p>
      <w:r>
        <w:br w:type="page"/>
      </w:r>
    </w:p>
    <w:p>
      <w:pPr>
        <w:pStyle w:val="CT_H1"/>
      </w:pPr>
      <w:r>
        <w:t>Checklist sau khi hoàn thành</w:t>
      </w:r>
    </w:p>
    <w:tbl>
      <w:tblPr>
        <w:tblW w:type="auto" w:w="0"/>
        <w:jc w:val="center"/>
        <w:tblLayout w:type="fixed"/>
        <w:tblLook w:firstColumn="1" w:firstRow="1" w:lastColumn="0" w:lastRow="0" w:noHBand="0" w:noVBand="1" w:val="04A0"/>
      </w:tblPr>
      <w:tblGrid>
        <w:gridCol w:w="624"/>
        <w:gridCol w:w="6803"/>
        <w:gridCol w:w="1814"/>
      </w:tblGrid>
      <w:tr>
        <w:tc>
          <w:tcPr>
            <w:tcW w:type="dxa" w:w="3118"/>
            <w:shd w:fill="0B66D8"/>
            <w:tcBorders>
              <w:top w:val="single" w:sz="6" w:space="0" w:color="FFFFFF"/>
              <w:left w:val="single" w:sz="6" w:space="0" w:color="FFFFFF"/>
              <w:bottom w:val="single" w:sz="6" w:space="0" w:color="FFFFFF"/>
              <w:right w:val="single" w:sz="6" w:space="0" w:color="FFFFFF"/>
            </w:tcBorders>
            <w:tcMar>
              <w:top w:w="70" w:type="dxa"/>
              <w:start w:w="70" w:type="dxa"/>
              <w:bottom w:w="70" w:type="dxa"/>
              <w:end w:w="70" w:type="dxa"/>
            </w:tcMar>
          </w:tcPr>
          <w:p>
            <w:pPr>
              <w:jc w:val="center"/>
            </w:pPr>
            <w:r>
              <w:rPr>
                <w:rFonts w:ascii="Arial" w:hAnsi="Arial" w:eastAsia="Arial"/>
                <w:b/>
                <w:color w:val="FFFFFF"/>
                <w:sz w:val="18"/>
              </w:rPr>
              <w:t>#</w:t>
            </w:r>
          </w:p>
        </w:tc>
        <w:tc>
          <w:tcPr>
            <w:tcW w:type="dxa" w:w="3118"/>
            <w:shd w:fill="0B66D8"/>
            <w:tcBorders>
              <w:top w:val="single" w:sz="6" w:space="0" w:color="FFFFFF"/>
              <w:left w:val="single" w:sz="6" w:space="0" w:color="FFFFFF"/>
              <w:bottom w:val="single" w:sz="6" w:space="0" w:color="FFFFFF"/>
              <w:right w:val="single" w:sz="6" w:space="0" w:color="FFFFFF"/>
            </w:tcBorders>
            <w:tcMar>
              <w:top w:w="70" w:type="dxa"/>
              <w:start w:w="70" w:type="dxa"/>
              <w:bottom w:w="70" w:type="dxa"/>
              <w:end w:w="70" w:type="dxa"/>
            </w:tcMar>
          </w:tcPr>
          <w:p>
            <w:pPr>
              <w:jc w:val="center"/>
            </w:pPr>
            <w:r>
              <w:rPr>
                <w:rFonts w:ascii="Arial" w:hAnsi="Arial" w:eastAsia="Arial"/>
                <w:b/>
                <w:color w:val="FFFFFF"/>
                <w:sz w:val="18"/>
              </w:rPr>
              <w:t>Nội dung kiểm tra</w:t>
            </w:r>
          </w:p>
        </w:tc>
        <w:tc>
          <w:tcPr>
            <w:tcW w:type="dxa" w:w="3118"/>
            <w:shd w:fill="0B66D8"/>
            <w:tcBorders>
              <w:top w:val="single" w:sz="6" w:space="0" w:color="FFFFFF"/>
              <w:left w:val="single" w:sz="6" w:space="0" w:color="FFFFFF"/>
              <w:bottom w:val="single" w:sz="6" w:space="0" w:color="FFFFFF"/>
              <w:right w:val="single" w:sz="6" w:space="0" w:color="FFFFFF"/>
            </w:tcBorders>
            <w:tcMar>
              <w:top w:w="70" w:type="dxa"/>
              <w:start w:w="70" w:type="dxa"/>
              <w:bottom w:w="70" w:type="dxa"/>
              <w:end w:w="70" w:type="dxa"/>
            </w:tcMar>
          </w:tcPr>
          <w:p>
            <w:pPr>
              <w:jc w:val="center"/>
            </w:pPr>
            <w:r>
              <w:rPr>
                <w:rFonts w:ascii="Arial" w:hAnsi="Arial" w:eastAsia="Arial"/>
                <w:b/>
                <w:color w:val="FFFFFF"/>
                <w:sz w:val="18"/>
              </w:rPr>
              <w:t>Trạng thái</w:t>
            </w:r>
          </w:p>
        </w:tc>
      </w:tr>
      <w:tr>
        <w:tc>
          <w:tcPr>
            <w:tcW w:type="dxa" w:w="62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pPr>
              <w:jc w:val="center"/>
            </w:pPr>
            <w:r>
              <w:rPr>
                <w:rFonts w:ascii="Arial" w:hAnsi="Arial" w:eastAsia="Arial"/>
                <w:b/>
                <w:color w:val="0B66D8"/>
                <w:sz w:val="18"/>
              </w:rPr>
              <w:t>1</w:t>
            </w:r>
          </w:p>
        </w:tc>
        <w:tc>
          <w:tcPr>
            <w:tcW w:type="dxa" w:w="6803"/>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8"/>
              </w:rPr>
              <w:t>Đăng nhập được vào NotebookLM bằng tài khoản Google cần sử dụng.</w:t>
            </w:r>
          </w:p>
        </w:tc>
        <w:tc>
          <w:tcPr>
            <w:tcW w:type="dxa" w:w="181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7"/>
              </w:rPr>
              <w:t>☐ Đạt / ☐ Chưa đạt</w:t>
            </w:r>
          </w:p>
        </w:tc>
      </w:tr>
      <w:tr>
        <w:tc>
          <w:tcPr>
            <w:tcW w:type="dxa" w:w="62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pPr>
              <w:jc w:val="center"/>
            </w:pPr>
            <w:r>
              <w:rPr>
                <w:rFonts w:ascii="Arial" w:hAnsi="Arial" w:eastAsia="Arial"/>
                <w:b/>
                <w:color w:val="0B66D8"/>
                <w:sz w:val="18"/>
              </w:rPr>
              <w:t>2</w:t>
            </w:r>
          </w:p>
        </w:tc>
        <w:tc>
          <w:tcPr>
            <w:tcW w:type="dxa" w:w="6803"/>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8"/>
              </w:rPr>
              <w:t>Tạo được một sổ ghi chú mới trong NotebookLM.</w:t>
            </w:r>
          </w:p>
        </w:tc>
        <w:tc>
          <w:tcPr>
            <w:tcW w:type="dxa" w:w="181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7"/>
              </w:rPr>
              <w:t>☐ Đạt / ☐ Chưa đạt</w:t>
            </w:r>
          </w:p>
        </w:tc>
      </w:tr>
      <w:tr>
        <w:tc>
          <w:tcPr>
            <w:tcW w:type="dxa" w:w="62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pPr>
              <w:jc w:val="center"/>
            </w:pPr>
            <w:r>
              <w:rPr>
                <w:rFonts w:ascii="Arial" w:hAnsi="Arial" w:eastAsia="Arial"/>
                <w:b/>
                <w:color w:val="0B66D8"/>
                <w:sz w:val="18"/>
              </w:rPr>
              <w:t>3</w:t>
            </w:r>
          </w:p>
        </w:tc>
        <w:tc>
          <w:tcPr>
            <w:tcW w:type="dxa" w:w="6803"/>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8"/>
              </w:rPr>
              <w:t>Thêm được nguồn từ Web hoặc tải tệp lên làm nguồn.</w:t>
            </w:r>
          </w:p>
        </w:tc>
        <w:tc>
          <w:tcPr>
            <w:tcW w:type="dxa" w:w="181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7"/>
              </w:rPr>
              <w:t>☐ Đạt / ☐ Chưa đạt</w:t>
            </w:r>
          </w:p>
        </w:tc>
      </w:tr>
      <w:tr>
        <w:tc>
          <w:tcPr>
            <w:tcW w:type="dxa" w:w="62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pPr>
              <w:jc w:val="center"/>
            </w:pPr>
            <w:r>
              <w:rPr>
                <w:rFonts w:ascii="Arial" w:hAnsi="Arial" w:eastAsia="Arial"/>
                <w:b/>
                <w:color w:val="0B66D8"/>
                <w:sz w:val="18"/>
              </w:rPr>
              <w:t>4</w:t>
            </w:r>
          </w:p>
        </w:tc>
        <w:tc>
          <w:tcPr>
            <w:tcW w:type="dxa" w:w="6803"/>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8"/>
              </w:rPr>
              <w:t>Dùng được khu vực Khám phá nguồn/Nghiên cứu nhanh để tìm thêm tài liệu.</w:t>
            </w:r>
          </w:p>
        </w:tc>
        <w:tc>
          <w:tcPr>
            <w:tcW w:type="dxa" w:w="181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7"/>
              </w:rPr>
              <w:t>☐ Đạt / ☐ Chưa đạt</w:t>
            </w:r>
          </w:p>
        </w:tc>
      </w:tr>
      <w:tr>
        <w:tc>
          <w:tcPr>
            <w:tcW w:type="dxa" w:w="62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pPr>
              <w:jc w:val="center"/>
            </w:pPr>
            <w:r>
              <w:rPr>
                <w:rFonts w:ascii="Arial" w:hAnsi="Arial" w:eastAsia="Arial"/>
                <w:b/>
                <w:color w:val="0B66D8"/>
                <w:sz w:val="18"/>
              </w:rPr>
              <w:t>5</w:t>
            </w:r>
          </w:p>
        </w:tc>
        <w:tc>
          <w:tcPr>
            <w:tcW w:type="dxa" w:w="6803"/>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8"/>
              </w:rPr>
              <w:t>Sử dụng được ít nhất một công cụ Studio: tổng quan, trình bày, video, bản đồ tư duy, báo cáo, thẻ thông tin, bài kiểm tra, infographic hoặc bảng dữ liệu.</w:t>
            </w:r>
          </w:p>
        </w:tc>
        <w:tc>
          <w:tcPr>
            <w:tcW w:type="dxa" w:w="181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7"/>
              </w:rPr>
              <w:t>☐ Đạt / ☐ Chưa đạt</w:t>
            </w:r>
          </w:p>
        </w:tc>
      </w:tr>
      <w:tr>
        <w:tc>
          <w:tcPr>
            <w:tcW w:type="dxa" w:w="62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pPr>
              <w:jc w:val="center"/>
            </w:pPr>
            <w:r>
              <w:rPr>
                <w:rFonts w:ascii="Arial" w:hAnsi="Arial" w:eastAsia="Arial"/>
                <w:b/>
                <w:color w:val="0B66D8"/>
                <w:sz w:val="18"/>
              </w:rPr>
              <w:t>6</w:t>
            </w:r>
          </w:p>
        </w:tc>
        <w:tc>
          <w:tcPr>
            <w:tcW w:type="dxa" w:w="6803"/>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8"/>
              </w:rPr>
              <w:t>Mở/xem được kết quả đã tạo trong NotebookLM.</w:t>
            </w:r>
          </w:p>
        </w:tc>
        <w:tc>
          <w:tcPr>
            <w:tcW w:type="dxa" w:w="181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7"/>
              </w:rPr>
              <w:t>☐ Đạt / ☐ Chưa đạt</w:t>
            </w:r>
          </w:p>
        </w:tc>
      </w:tr>
      <w:tr>
        <w:tc>
          <w:tcPr>
            <w:tcW w:type="dxa" w:w="62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pPr>
              <w:jc w:val="center"/>
            </w:pPr>
            <w:r>
              <w:rPr>
                <w:rFonts w:ascii="Arial" w:hAnsi="Arial" w:eastAsia="Arial"/>
                <w:b/>
                <w:color w:val="0B66D8"/>
                <w:sz w:val="18"/>
              </w:rPr>
              <w:t>7</w:t>
            </w:r>
          </w:p>
        </w:tc>
        <w:tc>
          <w:tcPr>
            <w:tcW w:type="dxa" w:w="6803"/>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8"/>
              </w:rPr>
              <w:t>Biết cách xuất hoặc tải kết quả khi cần nộp sản phẩm học tập.</w:t>
            </w:r>
          </w:p>
        </w:tc>
        <w:tc>
          <w:tcPr>
            <w:tcW w:type="dxa" w:w="181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7"/>
              </w:rPr>
              <w:t>☐ Đạt / ☐ Chưa đạt</w:t>
            </w:r>
          </w:p>
        </w:tc>
      </w:tr>
      <w:tr>
        <w:tc>
          <w:tcPr>
            <w:tcW w:type="dxa" w:w="62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pPr>
              <w:jc w:val="center"/>
            </w:pPr>
            <w:r>
              <w:rPr>
                <w:rFonts w:ascii="Arial" w:hAnsi="Arial" w:eastAsia="Arial"/>
                <w:b/>
                <w:color w:val="0B66D8"/>
                <w:sz w:val="18"/>
              </w:rPr>
              <w:t>8</w:t>
            </w:r>
          </w:p>
        </w:tc>
        <w:tc>
          <w:tcPr>
            <w:tcW w:type="dxa" w:w="6803"/>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8"/>
              </w:rPr>
              <w:t>Biết báo giảng viên khi gặp lỗi tài khoản, quyền truy cập hoặc giao diện thay đổi.</w:t>
            </w:r>
          </w:p>
        </w:tc>
        <w:tc>
          <w:tcPr>
            <w:tcW w:type="dxa" w:w="1814"/>
            <w:tcBorders>
              <w:top w:val="single" w:sz="6" w:space="0" w:color="D9E8F7"/>
              <w:left w:val="single" w:sz="6" w:space="0" w:color="D9E8F7"/>
              <w:bottom w:val="single" w:sz="6" w:space="0" w:color="D9E8F7"/>
              <w:right w:val="single" w:sz="6" w:space="0" w:color="D9E8F7"/>
            </w:tcBorders>
            <w:tcMar>
              <w:top w:w="70" w:type="dxa"/>
              <w:start w:w="70" w:type="dxa"/>
              <w:bottom w:w="70" w:type="dxa"/>
              <w:end w:w="70" w:type="dxa"/>
            </w:tcMar>
          </w:tcPr>
          <w:p>
            <w:r>
              <w:rPr>
                <w:rFonts w:ascii="Arial" w:hAnsi="Arial" w:eastAsia="Arial"/>
                <w:b w:val="0"/>
                <w:color w:val="10223D"/>
                <w:sz w:val="17"/>
              </w:rPr>
              <w:t>☐ Đạt / ☐ Chưa đạt</w:t>
            </w:r>
          </w:p>
        </w:tc>
      </w:tr>
    </w:tbl>
    <w:sectPr w:rsidR="00FC693F" w:rsidRPr="0006063C" w:rsidSect="00034616">
      <w:headerReference w:type="default" r:id="rId9"/>
      <w:footerReference w:type="default" r:id="rId10"/>
      <w:pgSz w:w="11906" w:h="16838"/>
      <w:pgMar w:top="1446" w:right="1134" w:bottom="1134" w:left="1417" w:header="255" w:footer="425"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10="urn:schemas-microsoft-com:office:word" xmlns:w14="http://schemas.microsoft.com/office/word/2010/wordml" xmlns:w="http://schemas.openxmlformats.org/wordprocessingml/2006/main" xmlns:wne="http://schemas.microsoft.com/office/word/2006/wordml" xmlns:wp14="http://schemas.microsoft.com/office/word/2010/wordprocessingDrawing" xmlns:wp="http://schemas.openxmlformats.org/drawingml/2006/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tbl>
    <w:tblPr>
      <w:tblW w:type="auto" w:w="0"/>
      <w:jc w:val="center"/>
      <w:tblLayout w:type="fixed"/>
      <w:tblLook w:firstColumn="1" w:firstRow="1" w:lastColumn="0" w:lastRow="0" w:noHBand="0" w:noVBand="1" w:val="04A0"/>
    </w:tblPr>
    <w:tblGrid>
      <w:gridCol w:w="6633"/>
      <w:gridCol w:w="2721"/>
    </w:tblGrid>
    <w:tr>
      <w:tc>
        <w:tcPr>
          <w:tcW w:type="dxa" w:w="4677"/>
          <w:tcBorders>
            <w:top w:val="single" w:sz="0" w:space="0" w:color="FFFFFF"/>
            <w:left w:val="single" w:sz="0" w:space="0" w:color="FFFFFF"/>
            <w:bottom w:val="single" w:sz="0" w:space="0" w:color="FFFFFF"/>
            <w:right w:val="single" w:sz="0" w:space="0" w:color="FFFFFF"/>
          </w:tcBorders>
        </w:tcPr>
        <w:p>
          <w:r>
            <w:rPr>
              <w:rFonts w:ascii="Arial" w:hAnsi="Arial" w:eastAsia="Arial"/>
              <w:b w:val="0"/>
              <w:color w:val="5F7895"/>
              <w:sz w:val="16"/>
            </w:rPr>
            <w:t>CuongTech DocuForge AI - Hướng dẫn đăng nhập NotebookLM</w:t>
          </w:r>
        </w:p>
      </w:tc>
      <w:tc>
        <w:tcPr>
          <w:tcW w:type="dxa" w:w="4677"/>
          <w:tcBorders>
            <w:top w:val="single" w:sz="0" w:space="0" w:color="FFFFFF"/>
            <w:left w:val="single" w:sz="0" w:space="0" w:color="FFFFFF"/>
            <w:bottom w:val="single" w:sz="0" w:space="0" w:color="FFFFFF"/>
            <w:right w:val="single" w:sz="0" w:space="0" w:color="FFFFFF"/>
          </w:tcBorders>
        </w:tcPr>
        <w:p>
          <w:pPr>
            <w:jc w:val="right"/>
          </w:pPr>
          <w:r>
            <w:rPr>
              <w:rFonts w:ascii="Arial" w:hAnsi="Arial" w:eastAsia="Arial"/>
              <w:b w:val="0"/>
              <w:color w:val="5F7895"/>
              <w:sz w:val="16"/>
            </w:rPr>
            <w:t xml:space="preserve">v1.0 | Trang </w:t>
          </w:r>
          <w:r>
            <w:fldChar w:fldCharType="begin"/>
          </w:r>
          <w:r>
            <w:instrText xml:space="preserve">PAGE</w:instrText>
          </w:r>
          <w:r>
            <w:fldChar w:fldCharType="separate"/>
          </w:r>
          <w:r>
            <w:t>1</w:t>
          </w:r>
          <w:r>
            <w:fldChar w:fldCharType="end"/>
          </w:r>
          <w:r>
            <w:rPr>
              <w:rFonts w:ascii="Arial" w:hAnsi="Arial" w:eastAsia="Arial"/>
              <w:b w:val="0"/>
              <w:color w:val="5F7895"/>
              <w:sz w:val="16"/>
            </w:rPr>
            <w:t>/</w:t>
          </w:r>
          <w:r>
            <w:fldChar w:fldCharType="begin"/>
          </w:r>
          <w:r>
            <w:instrText xml:space="preserve">NUMPAGES</w:instrText>
          </w:r>
          <w:r>
            <w:fldChar w:fldCharType="separate"/>
          </w:r>
          <w:r>
            <w:t>1</w:t>
          </w:r>
          <w:r>
            <w:fldChar w:fldCharType="end"/>
          </w:r>
        </w:p>
      </w:tc>
    </w:tr>
  </w:tbl>
</w:ftr>
</file>

<file path=word/header1.xml><?xml version="1.0" encoding="utf-8"?>
<w:hdr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10="urn:schemas-microsoft-com:office:word" xmlns:w14="http://schemas.microsoft.com/office/word/2010/wordml" xmlns:w="http://schemas.openxmlformats.org/wordprocessingml/2006/main" xmlns:wne="http://schemas.microsoft.com/office/word/2006/wordml" xmlns:wp14="http://schemas.microsoft.com/office/word/2010/wordprocessingDrawing" xmlns:wp="http://schemas.openxmlformats.org/drawingml/2006/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p>
    <w:pPr>
      <w:pStyle w:val="Header"/>
      <w:spacing w:after="0" w:before="0"/>
      <w:jc w:val="center"/>
    </w:pPr>
    <w:r>
      <w:drawing>
        <wp:inline xmlns:a="http://schemas.openxmlformats.org/drawingml/2006/main" xmlns:pic="http://schemas.openxmlformats.org/drawingml/2006/picture">
          <wp:extent cx="5940000" cy="726000"/>
          <wp:docPr id="1" name="Picture 1" descr="Image: item1.xml"/>
          <wp:cNvGraphicFramePr>
            <a:graphicFrameLocks noChangeAspect="1"/>
          </wp:cNvGraphicFramePr>
          <a:graphic>
            <a:graphicData uri="http://schemas.openxmlformats.org/drawingml/2006/picture">
              <pic:pic>
                <pic:nvPicPr>
                  <pic:cNvPr id="0" name="header_banner_word.png"/>
                  <pic:cNvPicPr/>
                </pic:nvPicPr>
                <pic:blipFill>
                  <a:blip r:embed="rId1"/>
                  <a:stretch>
                    <a:fillRect/>
                  </a:stretch>
                </pic:blipFill>
                <pic:spPr>
                  <a:xfrm>
                    <a:off x="0" y="0"/>
                    <a:ext cx="5940000" cy="726000"/>
                  </a:xfrm>
                  <a:prstGeom prst="rect"/>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pPr>
      <w:spacing w:after="120" w:line="276" w:lineRule="auto"/>
    </w:pPr>
    <w:rPr>
      <w:rFonts w:ascii="Arial" w:hAnsi="Arial" w:eastAsia="Arial"/>
      <w:color w:val="10223D"/>
      <w:sz w:val="22"/>
    </w:rPr>
  </w:style>
  <w:style w:type="paragraph" w:styleId="Header">
    <w:name w:val="header"/>
    <w:basedOn w:val="Normal"/>
    <w:link w:val="HeaderChar"/>
    <w:uiPriority w:val="99"/>
    <w:unhideWhenUsed/>
    <w:rsid w:val="00E618BF"/>
    <w:pPr>
      <w:tabs>
        <w:tab w:val="center" w:pos="4680"/>
        <w:tab w:val="right" w:pos="9360"/>
      </w:tabs>
      <w:spacing w:after="0" w:line="240" w:lineRule="auto"/>
    </w:pPr>
    <w:rPr>
      <w:rFonts w:ascii="Arial" w:hAnsi="Arial" w:eastAsia="Arial"/>
    </w:rPr>
  </w:style>
  <w:style w:type="character" w:customStyle="1" w:styleId="HeaderChar">
    <w:name w:val="Header Char"/>
    <w:basedOn w:val="DefaultParagraphFont"/>
    <w:link w:val="Header"/>
    <w:uiPriority w:val="99"/>
    <w:rsid w:val="00E618BF"/>
    <w:rPr>
      <w:rFonts w:ascii="Arial" w:hAnsi="Arial" w:eastAsia="Arial"/>
    </w:rPr>
  </w:style>
  <w:style w:type="paragraph" w:styleId="Footer">
    <w:name w:val="footer"/>
    <w:basedOn w:val="Normal"/>
    <w:link w:val="FooterChar"/>
    <w:uiPriority w:val="99"/>
    <w:unhideWhenUsed/>
    <w:rsid w:val="00E618BF"/>
    <w:pPr>
      <w:tabs>
        <w:tab w:val="center" w:pos="4680"/>
        <w:tab w:val="right" w:pos="9360"/>
      </w:tabs>
      <w:spacing w:after="0" w:line="240" w:lineRule="auto"/>
    </w:pPr>
    <w:rPr>
      <w:rFonts w:ascii="Arial" w:hAnsi="Arial" w:eastAsia="Arial"/>
    </w:rPr>
  </w:style>
  <w:style w:type="character" w:customStyle="1" w:styleId="FooterChar">
    <w:name w:val="Footer Char"/>
    <w:basedOn w:val="DefaultParagraphFont"/>
    <w:link w:val="Footer"/>
    <w:uiPriority w:val="99"/>
    <w:rsid w:val="00E618BF"/>
    <w:rPr>
      <w:rFonts w:ascii="Arial" w:hAnsi="Arial" w:eastAsia="Arial"/>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Arial" w:hAnsi="Arial" w:eastAsia="Arial"/>
      <w:b/>
      <w:bCs/>
      <w:color w:val="062B63"/>
      <w:sz w:val="37"/>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Arial" w:hAnsi="Arial" w:eastAsia="Arial"/>
      <w:b/>
      <w:bCs/>
      <w:color w:val="0B66D8"/>
      <w:sz w:val="28"/>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Arial" w:hAnsi="Arial" w:eastAsia="Arial"/>
      <w:b/>
      <w:bCs/>
      <w:color w:val="062B63"/>
      <w:sz w:val="24"/>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Arial" w:hAnsi="Arial" w:eastAsia="Arial"/>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Arial" w:hAnsi="Arial" w:eastAsia="Arial"/>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Arial" w:hAnsi="Arial" w:eastAsia="Arial"/>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Arial" w:hAnsi="Arial" w:eastAsia="Arial"/>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Arial" w:hAnsi="Arial" w:eastAsia="Arial"/>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Arial" w:hAnsi="Arial" w:eastAsia="Arial"/>
      <w:i/>
      <w:iCs/>
      <w:color w:val="404040" w:themeColor="text1" w:themeTint="BF"/>
      <w:sz w:val="20"/>
      <w:szCs w:val="20"/>
    </w:rPr>
  </w:style>
  <w:style w:type="character" w:default="1" w:styleId="DefaultParagraphFont">
    <w:name w:val="Default Paragraph Font"/>
    <w:uiPriority w:val="1"/>
    <w:semiHidden/>
    <w:unhideWhenUsed/>
    <w:rPr>
      <w:rFonts w:ascii="Arial" w:hAnsi="Arial" w:eastAsia="Arial"/>
    </w:rPr>
  </w:style>
  <w:style w:type="table" w:default="1" w:styleId="TableNormal">
    <w:name w:val="Normal Table"/>
    <w:uiPriority w:val="99"/>
    <w:semiHidden/>
    <w:unhideWhenUsed/>
    <w:rPr>
      <w:rFonts w:ascii="Arial" w:hAnsi="Arial" w:eastAsia="Arial"/>
    </w:rPr>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rPr>
      <w:rFonts w:ascii="Arial" w:hAnsi="Arial" w:eastAsia="Arial"/>
    </w:r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ascii="Arial" w:hAnsi="Arial" w:eastAsia="Arial"/>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ascii="Arial" w:hAnsi="Arial" w:eastAsia="Arial"/>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ascii="Arial" w:hAnsi="Arial" w:eastAsia="Arial"/>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ascii="Arial" w:hAnsi="Arial" w:eastAsia="Arial"/>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ascii="Arial" w:hAnsi="Arial" w:eastAsia="Arial"/>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ascii="Arial" w:hAnsi="Arial" w:eastAsia="Arial"/>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ascii="Arial" w:hAnsi="Arial" w:eastAsia="Arial"/>
      <w:i/>
      <w:iCs/>
      <w:color w:val="4F81BD" w:themeColor="accent1"/>
      <w:spacing w:val="15"/>
      <w:sz w:val="24"/>
      <w:szCs w:val="24"/>
    </w:rPr>
  </w:style>
  <w:style w:type="paragraph" w:styleId="ListParagraph">
    <w:name w:val="List Paragraph"/>
    <w:basedOn w:val="Normal"/>
    <w:uiPriority w:val="34"/>
    <w:qFormat/>
    <w:rsid w:val="00FC693F"/>
    <w:pPr>
      <w:ind w:left="720"/>
      <w:contextualSpacing/>
    </w:pPr>
    <w:rPr>
      <w:rFonts w:ascii="Arial" w:hAnsi="Arial" w:eastAsia="Arial"/>
    </w:rPr>
  </w:style>
  <w:style w:type="paragraph" w:styleId="BodyText">
    <w:name w:val="Body Text"/>
    <w:basedOn w:val="Normal"/>
    <w:link w:val="BodyTextChar"/>
    <w:uiPriority w:val="99"/>
    <w:unhideWhenUsed/>
    <w:rsid w:val="00AA1D8D"/>
    <w:pPr>
      <w:spacing w:after="120"/>
    </w:pPr>
    <w:rPr>
      <w:rFonts w:ascii="Arial" w:hAnsi="Arial" w:eastAsia="Arial"/>
    </w:rPr>
  </w:style>
  <w:style w:type="character" w:customStyle="1" w:styleId="BodyTextChar">
    <w:name w:val="Body Text Char"/>
    <w:basedOn w:val="DefaultParagraphFont"/>
    <w:link w:val="BodyText"/>
    <w:uiPriority w:val="99"/>
    <w:rsid w:val="00AA1D8D"/>
    <w:rPr>
      <w:rFonts w:ascii="Arial" w:hAnsi="Arial" w:eastAsia="Arial"/>
    </w:rPr>
  </w:style>
  <w:style w:type="paragraph" w:styleId="BodyText2">
    <w:name w:val="Body Text 2"/>
    <w:basedOn w:val="Normal"/>
    <w:link w:val="BodyText2Char"/>
    <w:uiPriority w:val="99"/>
    <w:unhideWhenUsed/>
    <w:rsid w:val="00AA1D8D"/>
    <w:pPr>
      <w:spacing w:after="120" w:line="480" w:lineRule="auto"/>
    </w:pPr>
    <w:rPr>
      <w:rFonts w:ascii="Arial" w:hAnsi="Arial" w:eastAsia="Arial"/>
    </w:rPr>
  </w:style>
  <w:style w:type="character" w:customStyle="1" w:styleId="BodyText2Char">
    <w:name w:val="Body Text 2 Char"/>
    <w:basedOn w:val="DefaultParagraphFont"/>
    <w:link w:val="BodyText2"/>
    <w:uiPriority w:val="99"/>
    <w:rsid w:val="00AA1D8D"/>
    <w:rPr>
      <w:rFonts w:ascii="Arial" w:hAnsi="Arial" w:eastAsia="Arial"/>
    </w:rPr>
  </w:style>
  <w:style w:type="paragraph" w:styleId="BodyText3">
    <w:name w:val="Body Text 3"/>
    <w:basedOn w:val="Normal"/>
    <w:link w:val="BodyText3Char"/>
    <w:uiPriority w:val="99"/>
    <w:unhideWhenUsed/>
    <w:rsid w:val="00AA1D8D"/>
    <w:pPr>
      <w:spacing w:after="120"/>
    </w:pPr>
    <w:rPr>
      <w:rFonts w:ascii="Arial" w:hAnsi="Arial" w:eastAsia="Arial"/>
      <w:sz w:val="16"/>
      <w:szCs w:val="16"/>
    </w:rPr>
  </w:style>
  <w:style w:type="character" w:customStyle="1" w:styleId="BodyText3Char">
    <w:name w:val="Body Text 3 Char"/>
    <w:basedOn w:val="DefaultParagraphFont"/>
    <w:link w:val="BodyText3"/>
    <w:uiPriority w:val="99"/>
    <w:rsid w:val="00AA1D8D"/>
    <w:rPr>
      <w:rFonts w:ascii="Arial" w:hAnsi="Arial" w:eastAsia="Arial"/>
      <w:sz w:val="16"/>
      <w:szCs w:val="16"/>
    </w:rPr>
  </w:style>
  <w:style w:type="paragraph" w:styleId="List">
    <w:name w:val="List"/>
    <w:basedOn w:val="Normal"/>
    <w:uiPriority w:val="99"/>
    <w:unhideWhenUsed/>
    <w:rsid w:val="00AA1D8D"/>
    <w:pPr>
      <w:ind w:left="360" w:hanging="360"/>
      <w:contextualSpacing/>
    </w:pPr>
    <w:rPr>
      <w:rFonts w:ascii="Arial" w:hAnsi="Arial" w:eastAsia="Arial"/>
    </w:rPr>
  </w:style>
  <w:style w:type="paragraph" w:styleId="List2">
    <w:name w:val="List 2"/>
    <w:basedOn w:val="Normal"/>
    <w:uiPriority w:val="99"/>
    <w:unhideWhenUsed/>
    <w:rsid w:val="00326F90"/>
    <w:pPr>
      <w:ind w:left="720" w:hanging="360"/>
      <w:contextualSpacing/>
    </w:pPr>
    <w:rPr>
      <w:rFonts w:ascii="Arial" w:hAnsi="Arial" w:eastAsia="Arial"/>
    </w:rPr>
  </w:style>
  <w:style w:type="paragraph" w:styleId="List3">
    <w:name w:val="List 3"/>
    <w:basedOn w:val="Normal"/>
    <w:uiPriority w:val="99"/>
    <w:unhideWhenUsed/>
    <w:rsid w:val="00326F90"/>
    <w:pPr>
      <w:ind w:left="1080" w:hanging="360"/>
      <w:contextualSpacing/>
    </w:pPr>
    <w:rPr>
      <w:rFonts w:ascii="Arial" w:hAnsi="Arial" w:eastAsia="Arial"/>
    </w:rPr>
  </w:style>
  <w:style w:type="paragraph" w:styleId="ListBullet">
    <w:name w:val="List Bullet"/>
    <w:basedOn w:val="Normal"/>
    <w:uiPriority w:val="99"/>
    <w:unhideWhenUsed/>
    <w:rsid w:val="00326F90"/>
    <w:pPr>
      <w:numPr>
        <w:numId w:val="1"/>
      </w:numPr>
      <w:contextualSpacing/>
    </w:pPr>
    <w:rPr>
      <w:rFonts w:ascii="Arial" w:hAnsi="Arial" w:eastAsia="Arial"/>
    </w:rPr>
  </w:style>
  <w:style w:type="paragraph" w:styleId="ListBullet2">
    <w:name w:val="List Bullet 2"/>
    <w:basedOn w:val="Normal"/>
    <w:uiPriority w:val="99"/>
    <w:unhideWhenUsed/>
    <w:rsid w:val="00326F90"/>
    <w:pPr>
      <w:numPr>
        <w:numId w:val="2"/>
      </w:numPr>
      <w:contextualSpacing/>
    </w:pPr>
    <w:rPr>
      <w:rFonts w:ascii="Arial" w:hAnsi="Arial" w:eastAsia="Arial"/>
    </w:rPr>
  </w:style>
  <w:style w:type="paragraph" w:styleId="ListBullet3">
    <w:name w:val="List Bullet 3"/>
    <w:basedOn w:val="Normal"/>
    <w:uiPriority w:val="99"/>
    <w:unhideWhenUsed/>
    <w:rsid w:val="00326F90"/>
    <w:pPr>
      <w:numPr>
        <w:numId w:val="3"/>
      </w:numPr>
      <w:contextualSpacing/>
    </w:pPr>
    <w:rPr>
      <w:rFonts w:ascii="Arial" w:hAnsi="Arial" w:eastAsia="Arial"/>
    </w:rPr>
  </w:style>
  <w:style w:type="paragraph" w:styleId="ListNumber">
    <w:name w:val="List Number"/>
    <w:basedOn w:val="Normal"/>
    <w:uiPriority w:val="99"/>
    <w:unhideWhenUsed/>
    <w:rsid w:val="00326F90"/>
    <w:pPr>
      <w:numPr>
        <w:numId w:val="5"/>
      </w:numPr>
      <w:contextualSpacing/>
    </w:pPr>
    <w:rPr>
      <w:rFonts w:ascii="Arial" w:hAnsi="Arial" w:eastAsia="Arial"/>
    </w:rPr>
  </w:style>
  <w:style w:type="paragraph" w:styleId="ListNumber2">
    <w:name w:val="List Number 2"/>
    <w:basedOn w:val="Normal"/>
    <w:uiPriority w:val="99"/>
    <w:unhideWhenUsed/>
    <w:rsid w:val="0029639D"/>
    <w:pPr>
      <w:numPr>
        <w:numId w:val="6"/>
      </w:numPr>
      <w:contextualSpacing/>
    </w:pPr>
    <w:rPr>
      <w:rFonts w:ascii="Arial" w:hAnsi="Arial" w:eastAsia="Arial"/>
    </w:rPr>
  </w:style>
  <w:style w:type="paragraph" w:styleId="ListNumber3">
    <w:name w:val="List Number 3"/>
    <w:basedOn w:val="Normal"/>
    <w:uiPriority w:val="99"/>
    <w:unhideWhenUsed/>
    <w:rsid w:val="0029639D"/>
    <w:pPr>
      <w:numPr>
        <w:numId w:val="7"/>
      </w:numPr>
      <w:contextualSpacing/>
    </w:pPr>
    <w:rPr>
      <w:rFonts w:ascii="Arial" w:hAnsi="Arial" w:eastAsia="Arial"/>
    </w:rPr>
  </w:style>
  <w:style w:type="paragraph" w:styleId="ListContinue">
    <w:name w:val="List Continue"/>
    <w:basedOn w:val="Normal"/>
    <w:uiPriority w:val="99"/>
    <w:unhideWhenUsed/>
    <w:rsid w:val="0029639D"/>
    <w:pPr>
      <w:spacing w:after="120"/>
      <w:ind w:left="360"/>
      <w:contextualSpacing/>
    </w:pPr>
    <w:rPr>
      <w:rFonts w:ascii="Arial" w:hAnsi="Arial" w:eastAsia="Arial"/>
    </w:rPr>
  </w:style>
  <w:style w:type="paragraph" w:styleId="ListContinue2">
    <w:name w:val="List Continue 2"/>
    <w:basedOn w:val="Normal"/>
    <w:uiPriority w:val="99"/>
    <w:unhideWhenUsed/>
    <w:rsid w:val="0029639D"/>
    <w:pPr>
      <w:spacing w:after="120"/>
      <w:ind w:left="720"/>
      <w:contextualSpacing/>
    </w:pPr>
    <w:rPr>
      <w:rFonts w:ascii="Arial" w:hAnsi="Arial" w:eastAsia="Arial"/>
    </w:rPr>
  </w:style>
  <w:style w:type="paragraph" w:styleId="ListContinue3">
    <w:name w:val="List Continue 3"/>
    <w:basedOn w:val="Normal"/>
    <w:uiPriority w:val="99"/>
    <w:unhideWhenUsed/>
    <w:rsid w:val="0029639D"/>
    <w:pPr>
      <w:spacing w:after="120"/>
      <w:ind w:left="1080"/>
      <w:contextualSpacing/>
    </w:pPr>
    <w:rPr>
      <w:rFonts w:ascii="Arial" w:hAnsi="Arial" w:eastAsia="Arial"/>
    </w:r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Arial" w:hAnsi="Arial" w:eastAsia="Arial"/>
      <w:sz w:val="20"/>
      <w:szCs w:val="20"/>
    </w:rPr>
  </w:style>
  <w:style w:type="character" w:customStyle="1" w:styleId="MacroTextChar">
    <w:name w:val="Macro Text Char"/>
    <w:basedOn w:val="DefaultParagraphFont"/>
    <w:link w:val="MacroText"/>
    <w:uiPriority w:val="99"/>
    <w:rsid w:val="0029639D"/>
    <w:rPr>
      <w:rFonts w:ascii="Arial" w:hAnsi="Arial" w:eastAsia="Arial"/>
      <w:sz w:val="20"/>
      <w:szCs w:val="20"/>
    </w:rPr>
  </w:style>
  <w:style w:type="paragraph" w:styleId="Quote">
    <w:name w:val="Quote"/>
    <w:basedOn w:val="Normal"/>
    <w:next w:val="Normal"/>
    <w:link w:val="QuoteChar"/>
    <w:uiPriority w:val="29"/>
    <w:qFormat/>
    <w:rsid w:val="00FC693F"/>
    <w:rPr>
      <w:rFonts w:ascii="Arial" w:hAnsi="Arial" w:eastAsia="Arial"/>
      <w:i/>
      <w:iCs/>
      <w:color w:val="000000" w:themeColor="text1"/>
    </w:rPr>
  </w:style>
  <w:style w:type="character" w:customStyle="1" w:styleId="QuoteChar">
    <w:name w:val="Quote Char"/>
    <w:basedOn w:val="DefaultParagraphFont"/>
    <w:link w:val="Quote"/>
    <w:uiPriority w:val="29"/>
    <w:rsid w:val="00FC693F"/>
    <w:rPr>
      <w:rFonts w:ascii="Arial" w:hAnsi="Arial" w:eastAsia="Arial"/>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ascii="Arial" w:hAnsi="Arial" w:eastAsia="Arial"/>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ascii="Arial" w:hAnsi="Arial" w:eastAsia="Arial"/>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ascii="Arial" w:hAnsi="Arial" w:eastAsia="Arial"/>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ascii="Arial" w:hAnsi="Arial" w:eastAsia="Arial"/>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ascii="Arial" w:hAnsi="Arial" w:eastAsia="Arial"/>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ascii="Arial" w:hAnsi="Arial" w:eastAsia="Arial"/>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rFonts w:ascii="Arial" w:hAnsi="Arial" w:eastAsia="Arial"/>
      <w:b/>
      <w:bCs/>
      <w:color w:val="4F81BD" w:themeColor="accent1"/>
      <w:sz w:val="18"/>
      <w:szCs w:val="18"/>
    </w:rPr>
  </w:style>
  <w:style w:type="character" w:styleId="Strong">
    <w:name w:val="Strong"/>
    <w:basedOn w:val="DefaultParagraphFont"/>
    <w:uiPriority w:val="22"/>
    <w:qFormat/>
    <w:rsid w:val="00FC693F"/>
    <w:rPr>
      <w:rFonts w:ascii="Arial" w:hAnsi="Arial" w:eastAsia="Arial"/>
      <w:b/>
      <w:bCs/>
    </w:rPr>
  </w:style>
  <w:style w:type="character" w:styleId="Emphasis">
    <w:name w:val="Emphasis"/>
    <w:basedOn w:val="DefaultParagraphFont"/>
    <w:uiPriority w:val="20"/>
    <w:qFormat/>
    <w:rsid w:val="00FC693F"/>
    <w:rPr>
      <w:rFonts w:ascii="Arial" w:hAnsi="Arial" w:eastAsia="Arial"/>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rFonts w:ascii="Arial" w:hAnsi="Arial" w:eastAsia="Arial"/>
      <w:b/>
      <w:bCs/>
      <w:i/>
      <w:iCs/>
      <w:color w:val="4F81BD" w:themeColor="accent1"/>
    </w:rPr>
  </w:style>
  <w:style w:type="character" w:customStyle="1" w:styleId="IntenseQuoteChar">
    <w:name w:val="Intense Quote Char"/>
    <w:basedOn w:val="DefaultParagraphFont"/>
    <w:link w:val="IntenseQuote"/>
    <w:uiPriority w:val="30"/>
    <w:rsid w:val="00FC693F"/>
    <w:rPr>
      <w:rFonts w:ascii="Arial" w:hAnsi="Arial" w:eastAsia="Arial"/>
      <w:b/>
      <w:bCs/>
      <w:i/>
      <w:iCs/>
      <w:color w:val="4F81BD" w:themeColor="accent1"/>
    </w:rPr>
  </w:style>
  <w:style w:type="character" w:styleId="SubtleEmphasis">
    <w:name w:val="Subtle Emphasis"/>
    <w:basedOn w:val="DefaultParagraphFont"/>
    <w:uiPriority w:val="19"/>
    <w:qFormat/>
    <w:rsid w:val="00FC693F"/>
    <w:rPr>
      <w:rFonts w:ascii="Arial" w:hAnsi="Arial" w:eastAsia="Arial"/>
      <w:i/>
      <w:iCs/>
      <w:color w:val="808080" w:themeColor="text1" w:themeTint="7F"/>
    </w:rPr>
  </w:style>
  <w:style w:type="character" w:styleId="IntenseEmphasis">
    <w:name w:val="Intense Emphasis"/>
    <w:basedOn w:val="DefaultParagraphFont"/>
    <w:uiPriority w:val="21"/>
    <w:qFormat/>
    <w:rsid w:val="00FC693F"/>
    <w:rPr>
      <w:rFonts w:ascii="Arial" w:hAnsi="Arial" w:eastAsia="Arial"/>
      <w:b/>
      <w:bCs/>
      <w:i/>
      <w:iCs/>
      <w:color w:val="4F81BD" w:themeColor="accent1"/>
    </w:rPr>
  </w:style>
  <w:style w:type="character" w:styleId="SubtleReference">
    <w:name w:val="Subtle Reference"/>
    <w:basedOn w:val="DefaultParagraphFont"/>
    <w:uiPriority w:val="31"/>
    <w:qFormat/>
    <w:rsid w:val="00FC693F"/>
    <w:rPr>
      <w:rFonts w:ascii="Arial" w:hAnsi="Arial" w:eastAsia="Arial"/>
      <w:smallCaps/>
      <w:color w:val="C0504D" w:themeColor="accent2"/>
      <w:u w:val="single"/>
    </w:rPr>
  </w:style>
  <w:style w:type="character" w:styleId="IntenseReference">
    <w:name w:val="Intense Reference"/>
    <w:basedOn w:val="DefaultParagraphFont"/>
    <w:uiPriority w:val="32"/>
    <w:qFormat/>
    <w:rsid w:val="00FC693F"/>
    <w:rPr>
      <w:rFonts w:ascii="Arial" w:hAnsi="Arial" w:eastAsia="Arial"/>
      <w:b/>
      <w:bCs/>
      <w:smallCaps/>
      <w:color w:val="C0504D" w:themeColor="accent2"/>
      <w:spacing w:val="5"/>
      <w:u w:val="single"/>
    </w:rPr>
  </w:style>
  <w:style w:type="character" w:styleId="BookTitle">
    <w:name w:val="Book Title"/>
    <w:basedOn w:val="DefaultParagraphFont"/>
    <w:uiPriority w:val="33"/>
    <w:qFormat/>
    <w:rsid w:val="00FC693F"/>
    <w:rPr>
      <w:rFonts w:ascii="Arial" w:hAnsi="Arial" w:eastAsia="Arial"/>
      <w:b/>
      <w:bCs/>
      <w:smallCaps/>
      <w:spacing w:val="5"/>
    </w:rPr>
  </w:style>
  <w:style w:type="paragraph" w:styleId="TOCHeading">
    <w:name w:val="TOC Heading"/>
    <w:basedOn w:val="Heading1"/>
    <w:next w:val="Normal"/>
    <w:uiPriority w:val="39"/>
    <w:semiHidden/>
    <w:unhideWhenUsed/>
    <w:qFormat/>
    <w:rsid w:val="00FC693F"/>
    <w:pPr>
      <w:outlineLvl w:val="9"/>
    </w:pPr>
    <w:rPr>
      <w:rFonts w:ascii="Arial" w:hAnsi="Arial" w:eastAsia="Arial"/>
    </w:rPr>
  </w:style>
  <w:style w:type="table" w:styleId="TableGrid">
    <w:name w:val="Table Grid"/>
    <w:basedOn w:val="TableNormal"/>
    <w:uiPriority w:val="59"/>
    <w:rsid w:val="00FC693F"/>
    <w:pPr>
      <w:spacing w:after="0" w:line="240" w:lineRule="auto"/>
    </w:pPr>
    <w:rPr>
      <w:rFonts w:ascii="Arial" w:hAnsi="Arial" w:eastAsia="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rFonts w:ascii="Arial" w:hAnsi="Arial" w:eastAsia="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rFonts w:ascii="Arial" w:hAnsi="Arial" w:eastAsia="Arial"/>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rFonts w:ascii="Arial" w:hAnsi="Arial" w:eastAsia="Arial"/>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rFonts w:ascii="Arial" w:hAnsi="Arial" w:eastAsia="Arial"/>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rFonts w:ascii="Arial" w:hAnsi="Arial" w:eastAsia="Arial"/>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rFonts w:ascii="Arial" w:hAnsi="Arial" w:eastAsia="Arial"/>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rFonts w:ascii="Arial" w:hAnsi="Arial" w:eastAsia="Arial"/>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rPr>
      <w:rFonts w:ascii="Arial" w:hAnsi="Arial" w:eastAsia="Arial"/>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rPr>
      <w:rFonts w:ascii="Arial" w:hAnsi="Arial" w:eastAsia="Arial"/>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rPr>
      <w:rFonts w:ascii="Arial" w:hAnsi="Arial" w:eastAsia="Arial"/>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rPr>
      <w:rFonts w:ascii="Arial" w:hAnsi="Arial" w:eastAsia="Arial"/>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rPr>
      <w:rFonts w:ascii="Arial" w:hAnsi="Arial" w:eastAsia="Arial"/>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rPr>
      <w:rFonts w:ascii="Arial" w:hAnsi="Arial" w:eastAsia="Arial"/>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rPr>
      <w:rFonts w:ascii="Arial" w:hAnsi="Arial" w:eastAsia="Arial"/>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rPr>
      <w:rFonts w:ascii="Arial" w:hAnsi="Arial" w:eastAsia="Arial"/>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rPr>
      <w:rFonts w:ascii="Arial" w:hAnsi="Arial" w:eastAsia="Arial"/>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rPr>
      <w:rFonts w:ascii="Arial" w:hAnsi="Arial" w:eastAsia="Arial"/>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rPr>
      <w:rFonts w:ascii="Arial" w:hAnsi="Arial" w:eastAsia="Arial"/>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rPr>
      <w:rFonts w:ascii="Arial" w:hAnsi="Arial" w:eastAsia="Arial"/>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rPr>
      <w:rFonts w:ascii="Arial" w:hAnsi="Arial" w:eastAsia="Arial"/>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rPr>
      <w:rFonts w:ascii="Arial" w:hAnsi="Arial" w:eastAsia="Arial"/>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rPr>
      <w:rFonts w:ascii="Arial" w:hAnsi="Arial" w:eastAsia="Arial"/>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rPr>
      <w:rFonts w:ascii="Arial" w:hAnsi="Arial" w:eastAsia="Arial"/>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rPr>
      <w:rFonts w:ascii="Arial" w:hAnsi="Arial" w:eastAsia="Arial"/>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rPr>
      <w:rFonts w:ascii="Arial" w:hAnsi="Arial" w:eastAsia="Arial"/>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rPr>
      <w:rFonts w:ascii="Arial" w:hAnsi="Arial" w:eastAsia="Arial"/>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rPr>
      <w:rFonts w:ascii="Arial" w:hAnsi="Arial" w:eastAsia="Arial"/>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rPr>
      <w:rFonts w:ascii="Arial" w:hAnsi="Arial" w:eastAsia="Arial"/>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rPr>
      <w:rFonts w:ascii="Arial" w:hAnsi="Arial" w:eastAsia="Ari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rPr>
      <w:rFonts w:ascii="Arial" w:hAnsi="Arial" w:eastAsia="Ari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rPr>
      <w:rFonts w:ascii="Arial" w:hAnsi="Arial" w:eastAsia="Ari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rPr>
      <w:rFonts w:ascii="Arial" w:hAnsi="Arial" w:eastAsia="Ari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rPr>
      <w:rFonts w:ascii="Arial" w:hAnsi="Arial" w:eastAsia="Ari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rPr>
      <w:rFonts w:ascii="Arial" w:hAnsi="Arial" w:eastAsia="Ari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rPr>
      <w:rFonts w:ascii="Arial" w:hAnsi="Arial" w:eastAsia="Ari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rFonts w:ascii="Arial" w:hAnsi="Arial" w:eastAsia="Arial"/>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rFonts w:ascii="Arial" w:hAnsi="Arial" w:eastAsia="Arial"/>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rFonts w:ascii="Arial" w:hAnsi="Arial" w:eastAsia="Arial"/>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rFonts w:ascii="Arial" w:hAnsi="Arial" w:eastAsia="Arial"/>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rFonts w:ascii="Arial" w:hAnsi="Arial" w:eastAsia="Arial"/>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rFonts w:ascii="Arial" w:hAnsi="Arial" w:eastAsia="Arial"/>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rFonts w:ascii="Arial" w:hAnsi="Arial" w:eastAsia="Arial"/>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ascii="Arial" w:hAnsi="Arial" w:eastAsia="Arial"/>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ascii="Arial" w:hAnsi="Arial" w:eastAsia="Arial"/>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ascii="Arial" w:hAnsi="Arial" w:eastAsia="Arial"/>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ascii="Arial" w:hAnsi="Arial" w:eastAsia="Arial"/>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ascii="Arial" w:hAnsi="Arial" w:eastAsia="Arial"/>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ascii="Arial" w:hAnsi="Arial" w:eastAsia="Arial"/>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ascii="Arial" w:hAnsi="Arial" w:eastAsia="Arial"/>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rPr>
      <w:rFonts w:ascii="Arial" w:hAnsi="Arial" w:eastAsia="Arial"/>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rPr>
      <w:rFonts w:ascii="Arial" w:hAnsi="Arial" w:eastAsia="Arial"/>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rPr>
      <w:rFonts w:ascii="Arial" w:hAnsi="Arial" w:eastAsia="Arial"/>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rPr>
      <w:rFonts w:ascii="Arial" w:hAnsi="Arial" w:eastAsia="Arial"/>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rPr>
      <w:rFonts w:ascii="Arial" w:hAnsi="Arial" w:eastAsia="Arial"/>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rPr>
      <w:rFonts w:ascii="Arial" w:hAnsi="Arial" w:eastAsia="Arial"/>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rPr>
      <w:rFonts w:ascii="Arial" w:hAnsi="Arial" w:eastAsia="Arial"/>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ascii="Arial" w:hAnsi="Arial" w:eastAsia="Arial"/>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ascii="Arial" w:hAnsi="Arial" w:eastAsia="Arial"/>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ascii="Arial" w:hAnsi="Arial" w:eastAsia="Arial"/>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ascii="Arial" w:hAnsi="Arial" w:eastAsia="Arial"/>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ascii="Arial" w:hAnsi="Arial" w:eastAsia="Arial"/>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ascii="Arial" w:hAnsi="Arial" w:eastAsia="Arial"/>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ascii="Arial" w:hAnsi="Arial" w:eastAsia="Arial"/>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rPr>
      <w:rFonts w:ascii="Arial" w:hAnsi="Arial" w:eastAsia="Aria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rPr>
      <w:rFonts w:ascii="Arial" w:hAnsi="Arial" w:eastAsia="Aria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rPr>
      <w:rFonts w:ascii="Arial" w:hAnsi="Arial" w:eastAsia="Aria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rPr>
      <w:rFonts w:ascii="Arial" w:hAnsi="Arial" w:eastAsia="Aria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rPr>
      <w:rFonts w:ascii="Arial" w:hAnsi="Arial" w:eastAsia="Aria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rPr>
      <w:rFonts w:ascii="Arial" w:hAnsi="Arial" w:eastAsia="Aria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rPr>
      <w:rFonts w:ascii="Arial" w:hAnsi="Arial" w:eastAsia="Aria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rFonts w:ascii="Arial" w:hAnsi="Arial" w:eastAsia="Arial"/>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rFonts w:ascii="Arial" w:hAnsi="Arial" w:eastAsia="Arial"/>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rFonts w:ascii="Arial" w:hAnsi="Arial" w:eastAsia="Arial"/>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rFonts w:ascii="Arial" w:hAnsi="Arial" w:eastAsia="Arial"/>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rFonts w:ascii="Arial" w:hAnsi="Arial" w:eastAsia="Arial"/>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rFonts w:ascii="Arial" w:hAnsi="Arial" w:eastAsia="Arial"/>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rFonts w:ascii="Arial" w:hAnsi="Arial" w:eastAsia="Arial"/>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rFonts w:ascii="Arial" w:hAnsi="Arial" w:eastAsia="Arial"/>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rFonts w:ascii="Arial" w:hAnsi="Arial" w:eastAsia="Arial"/>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rFonts w:ascii="Arial" w:hAnsi="Arial" w:eastAsia="Arial"/>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rFonts w:ascii="Arial" w:hAnsi="Arial" w:eastAsia="Arial"/>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rFonts w:ascii="Arial" w:hAnsi="Arial" w:eastAsia="Arial"/>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rFonts w:ascii="Arial" w:hAnsi="Arial" w:eastAsia="Arial"/>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rFonts w:ascii="Arial" w:hAnsi="Arial" w:eastAsia="Arial"/>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rFonts w:ascii="Arial" w:hAnsi="Arial" w:eastAsia="Arial"/>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rFonts w:ascii="Arial" w:hAnsi="Arial" w:eastAsia="Arial"/>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rFonts w:ascii="Arial" w:hAnsi="Arial" w:eastAsia="Arial"/>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rFonts w:ascii="Arial" w:hAnsi="Arial" w:eastAsia="Arial"/>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rFonts w:ascii="Arial" w:hAnsi="Arial" w:eastAsia="Arial"/>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rFonts w:ascii="Arial" w:hAnsi="Arial" w:eastAsia="Arial"/>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rFonts w:ascii="Arial" w:hAnsi="Arial" w:eastAsia="Arial"/>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rFonts w:ascii="Arial" w:hAnsi="Arial" w:eastAsia="Arial"/>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rFonts w:ascii="Arial" w:hAnsi="Arial" w:eastAsia="Arial"/>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rFonts w:ascii="Arial" w:hAnsi="Arial" w:eastAsia="Arial"/>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rFonts w:ascii="Arial" w:hAnsi="Arial" w:eastAsia="Arial"/>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rFonts w:ascii="Arial" w:hAnsi="Arial" w:eastAsia="Arial"/>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rFonts w:ascii="Arial" w:hAnsi="Arial" w:eastAsia="Arial"/>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rFonts w:ascii="Arial" w:hAnsi="Arial" w:eastAsia="Arial"/>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T_Title">
    <w:name w:val="CT_Title"/>
    <w:basedOn w:val="Normal"/>
    <w:pPr>
      <w:spacing w:before="120" w:after="160" w:line="276" w:lineRule="auto"/>
    </w:pPr>
    <w:rPr>
      <w:rFonts w:ascii="Arial" w:hAnsi="Arial" w:eastAsia="Arial"/>
      <w:b/>
      <w:color w:val="062B63"/>
      <w:sz w:val="44"/>
    </w:rPr>
  </w:style>
  <w:style w:type="paragraph" w:customStyle="1" w:styleId="CT_Subtitle">
    <w:name w:val="CT_Subtitle"/>
    <w:basedOn w:val="Normal"/>
    <w:pPr>
      <w:spacing w:before="0" w:after="120" w:line="276" w:lineRule="auto"/>
    </w:pPr>
    <w:rPr>
      <w:rFonts w:ascii="Arial" w:hAnsi="Arial" w:eastAsia="Arial"/>
      <w:b w:val="0"/>
      <w:color w:val="DCEEFF"/>
      <w:sz w:val="24"/>
    </w:rPr>
  </w:style>
  <w:style w:type="paragraph" w:customStyle="1" w:styleId="CT_H1">
    <w:name w:val="CT_H1"/>
    <w:basedOn w:val="Normal"/>
    <w:pPr>
      <w:spacing w:before="200" w:after="120" w:line="276" w:lineRule="auto"/>
    </w:pPr>
    <w:rPr>
      <w:rFonts w:ascii="Arial" w:hAnsi="Arial" w:eastAsia="Arial"/>
      <w:b/>
      <w:color w:val="062B63"/>
      <w:sz w:val="37"/>
    </w:rPr>
  </w:style>
  <w:style w:type="paragraph" w:customStyle="1" w:styleId="CT_H2">
    <w:name w:val="CT_H2"/>
    <w:basedOn w:val="Normal"/>
    <w:pPr>
      <w:spacing w:before="160" w:after="80" w:line="276" w:lineRule="auto"/>
    </w:pPr>
    <w:rPr>
      <w:rFonts w:ascii="Arial" w:hAnsi="Arial" w:eastAsia="Arial"/>
      <w:b/>
      <w:color w:val="0B66D8"/>
      <w:sz w:val="28"/>
    </w:rPr>
  </w:style>
  <w:style w:type="paragraph" w:customStyle="1" w:styleId="CT_H3">
    <w:name w:val="CT_H3"/>
    <w:basedOn w:val="Normal"/>
    <w:pPr>
      <w:spacing w:before="160" w:after="80" w:line="276" w:lineRule="auto"/>
    </w:pPr>
    <w:rPr>
      <w:rFonts w:ascii="Arial" w:hAnsi="Arial" w:eastAsia="Arial"/>
      <w:b/>
      <w:color w:val="062B63"/>
      <w:sz w:val="24"/>
    </w:rPr>
  </w:style>
  <w:style w:type="paragraph" w:customStyle="1" w:styleId="CT_Body">
    <w:name w:val="CT_Body"/>
    <w:basedOn w:val="Normal"/>
    <w:pPr>
      <w:spacing w:before="0" w:after="120" w:line="276" w:lineRule="auto"/>
    </w:pPr>
    <w:rPr>
      <w:rFonts w:ascii="Arial" w:hAnsi="Arial" w:eastAsia="Arial"/>
      <w:b w:val="0"/>
      <w:color w:val="10223D"/>
      <w:sz w:val="22"/>
    </w:rPr>
  </w:style>
  <w:style w:type="paragraph" w:customStyle="1" w:styleId="CT_Caption">
    <w:name w:val="CT_Caption"/>
    <w:basedOn w:val="Normal"/>
    <w:pPr>
      <w:spacing w:before="0" w:after="160" w:line="276" w:lineRule="auto"/>
    </w:pPr>
    <w:rPr>
      <w:rFonts w:ascii="Arial" w:hAnsi="Arial" w:eastAsia="Arial"/>
      <w:b w:val="0"/>
      <w:color w:val="6A7D92"/>
      <w:sz w:val="17"/>
    </w:rPr>
  </w:style>
  <w:style w:type="paragraph" w:customStyle="1" w:styleId="CT_Code">
    <w:name w:val="CT_Code"/>
    <w:basedOn w:val="Normal"/>
    <w:pPr>
      <w:spacing w:before="0" w:after="80" w:line="276" w:lineRule="auto"/>
    </w:pPr>
    <w:rPr>
      <w:rFonts w:ascii="Arial" w:hAnsi="Arial" w:eastAsia="Arial"/>
      <w:b w:val="0"/>
      <w:color w:val="EAF6FF"/>
      <w:sz w:val="16"/>
    </w:rPr>
  </w:style>
  <w:style w:type="paragraph" w:customStyle="1" w:styleId="CT_Callout">
    <w:name w:val="CT_Callout"/>
    <w:basedOn w:val="Normal"/>
    <w:pPr>
      <w:spacing w:before="0" w:after="80" w:line="276" w:lineRule="auto"/>
    </w:pPr>
    <w:rPr>
      <w:rFonts w:ascii="Arial" w:hAnsi="Arial" w:eastAsia="Arial"/>
      <w:b w:val="0"/>
      <w:color w:val="10223D"/>
      <w:sz w:val="20"/>
    </w:rPr>
  </w:style>
  <w:style w:type="paragraph" w:customStyle="1" w:styleId="CT_Safety">
    <w:name w:val="CT_Safety"/>
    <w:basedOn w:val="Normal"/>
    <w:pPr>
      <w:spacing w:before="0" w:after="80" w:line="276" w:lineRule="auto"/>
    </w:pPr>
    <w:rPr>
      <w:rFonts w:ascii="Arial" w:hAnsi="Arial" w:eastAsia="Arial"/>
      <w:b w:val="0"/>
      <w:color w:val="10223D"/>
      <w:sz w:val="20"/>
    </w:rPr>
  </w:style>
  <w:style w:type="paragraph" w:customStyle="1" w:styleId="CT_Footer">
    <w:name w:val="CT_Footer"/>
    <w:basedOn w:val="Normal"/>
    <w:pPr>
      <w:spacing w:before="0" w:after="0" w:line="276" w:lineRule="auto"/>
    </w:pPr>
    <w:rPr>
      <w:rFonts w:ascii="Arial" w:hAnsi="Arial" w:eastAsia="Arial"/>
      <w:b w:val="0"/>
      <w:color w:val="6A7D92"/>
      <w:sz w:val="15"/>
    </w:rPr>
  </w:style>
  <w:style w:type="paragraph" w:customStyle="1" w:styleId="CT_Small">
    <w:name w:val="CT_Small"/>
    <w:pPr>
      <w:spacing w:before="0" w:after="40" w:line="276" w:lineRule="auto"/>
    </w:pPr>
    <w:rPr>
      <w:rFonts w:ascii="Arial" w:hAnsi="Arial" w:eastAsia="Arial"/>
      <w:b w:val="0"/>
      <w:color w:val="5F7895"/>
      <w:sz w:val="17"/>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header" Target="header1.xml"/><Relationship Id="rId10" Type="http://schemas.openxmlformats.org/officeDocument/2006/relationships/footer" Target="footer1.xm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Hướng dẫn đăng nhập NotebookLM - SOP chuẩn hóa</dc:title>
  <dc:subject>Tài liệu hướng dẫn thao tác NotebookLM</dc:subject>
  <dc:creator>CuongTech DocuForge AI</dc:creator>
  <cp:keywords>NotebookLM, SOP, AI công vụ, CuongTech, DocuForge</cp:keywords>
  <dc:description>generated by python-docx</dc:description>
  <cp:lastModifiedBy/>
  <cp:revision>1</cp:revision>
  <dcterms:created xsi:type="dcterms:W3CDTF">2013-12-23T23:15:00Z</dcterms:created>
  <dcterms:modified xsi:type="dcterms:W3CDTF">2013-12-23T23:15:00Z</dcterms:modified>
  <cp:category/>
</cp:coreProperties>
</file>